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5F" w:rsidRDefault="009D128D" w:rsidP="0023525F">
      <w:pPr>
        <w:ind w:left="60"/>
        <w:jc w:val="both"/>
        <w:rPr>
          <w:b/>
          <w:lang w:val="en-US"/>
        </w:rPr>
      </w:pPr>
      <w:r>
        <w:rPr>
          <w:b/>
          <w:lang w:val="en-US"/>
        </w:rPr>
        <w:t>Internal Audit Plan</w:t>
      </w:r>
    </w:p>
    <w:p w:rsidR="009D128D" w:rsidRDefault="009D128D" w:rsidP="0023525F">
      <w:pPr>
        <w:ind w:left="60"/>
        <w:jc w:val="both"/>
        <w:rPr>
          <w:b/>
          <w:lang w:val="en-US"/>
        </w:rPr>
      </w:pP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A91F2C" w:rsidRPr="0085183D" w:rsidTr="00E051AF">
        <w:trPr>
          <w:trHeight w:val="602"/>
        </w:trPr>
        <w:tc>
          <w:tcPr>
            <w:tcW w:w="2699" w:type="dxa"/>
            <w:tcBorders>
              <w:top w:val="single" w:sz="4" w:space="0" w:color="auto"/>
              <w:left w:val="single" w:sz="4" w:space="0" w:color="auto"/>
              <w:bottom w:val="single" w:sz="4" w:space="0" w:color="auto"/>
              <w:right w:val="single" w:sz="4" w:space="0" w:color="auto"/>
            </w:tcBorders>
            <w:shd w:val="clear" w:color="auto" w:fill="C0C0C0"/>
            <w:noWrap/>
          </w:tcPr>
          <w:p w:rsidR="00A91F2C" w:rsidRPr="0085183D" w:rsidRDefault="00A91F2C" w:rsidP="00A91F2C">
            <w:pPr>
              <w:rPr>
                <w:b/>
                <w:bCs/>
                <w:sz w:val="20"/>
                <w:szCs w:val="20"/>
                <w:lang w:val="en-US"/>
              </w:rPr>
            </w:pPr>
            <w:r w:rsidRPr="0085183D">
              <w:rPr>
                <w:b/>
                <w:bCs/>
                <w:sz w:val="20"/>
                <w:szCs w:val="20"/>
                <w:lang w:val="en-US"/>
              </w:rPr>
              <w:t>Review Area</w:t>
            </w:r>
          </w:p>
        </w:tc>
        <w:tc>
          <w:tcPr>
            <w:tcW w:w="1417" w:type="dxa"/>
            <w:tcBorders>
              <w:top w:val="single" w:sz="4" w:space="0" w:color="auto"/>
              <w:left w:val="nil"/>
              <w:bottom w:val="single" w:sz="4" w:space="0" w:color="auto"/>
              <w:right w:val="single" w:sz="4" w:space="0" w:color="auto"/>
            </w:tcBorders>
            <w:shd w:val="clear" w:color="auto" w:fill="C0C0C0"/>
          </w:tcPr>
          <w:p w:rsidR="00A91F2C" w:rsidRPr="0085183D" w:rsidRDefault="00A91F2C" w:rsidP="00E45F42">
            <w:pPr>
              <w:rPr>
                <w:b/>
                <w:bCs/>
                <w:sz w:val="20"/>
                <w:szCs w:val="20"/>
                <w:lang w:val="en-US"/>
              </w:rPr>
            </w:pPr>
            <w:r w:rsidRPr="0085183D">
              <w:rPr>
                <w:b/>
                <w:bCs/>
                <w:sz w:val="20"/>
                <w:szCs w:val="20"/>
                <w:lang w:val="en-US"/>
              </w:rPr>
              <w:t>Risk Assessment</w:t>
            </w:r>
            <w:r w:rsidRPr="0085183D">
              <w:rPr>
                <w:rStyle w:val="FootnoteReference"/>
                <w:rFonts w:ascii="Arial" w:hAnsi="Arial" w:cs="Arial"/>
                <w:b/>
                <w:bCs/>
                <w:sz w:val="20"/>
                <w:szCs w:val="20"/>
                <w:lang w:val="en-US"/>
              </w:rPr>
              <w:footnoteReference w:id="1"/>
            </w:r>
            <w:r w:rsidRPr="0085183D">
              <w:rPr>
                <w:b/>
                <w:bCs/>
                <w:sz w:val="20"/>
                <w:szCs w:val="20"/>
                <w:lang w:val="en-US"/>
              </w:rPr>
              <w:t xml:space="preserve"> </w:t>
            </w:r>
          </w:p>
        </w:tc>
        <w:tc>
          <w:tcPr>
            <w:tcW w:w="3402" w:type="dxa"/>
            <w:tcBorders>
              <w:top w:val="single" w:sz="4" w:space="0" w:color="auto"/>
              <w:left w:val="nil"/>
              <w:bottom w:val="single" w:sz="4" w:space="0" w:color="auto"/>
              <w:right w:val="single" w:sz="4" w:space="0" w:color="auto"/>
            </w:tcBorders>
            <w:shd w:val="clear" w:color="auto" w:fill="C0C0C0"/>
          </w:tcPr>
          <w:p w:rsidR="00A91F2C" w:rsidRPr="0085183D" w:rsidRDefault="00A91F2C" w:rsidP="00202332">
            <w:pPr>
              <w:rPr>
                <w:b/>
                <w:bCs/>
                <w:sz w:val="20"/>
                <w:szCs w:val="20"/>
                <w:lang w:val="en-US"/>
              </w:rPr>
            </w:pPr>
            <w:r>
              <w:rPr>
                <w:b/>
                <w:bCs/>
                <w:sz w:val="20"/>
                <w:szCs w:val="20"/>
                <w:lang w:val="en-US"/>
              </w:rPr>
              <w:t xml:space="preserve">Reason for inclusion </w:t>
            </w:r>
          </w:p>
        </w:tc>
        <w:tc>
          <w:tcPr>
            <w:tcW w:w="4536" w:type="dxa"/>
            <w:tcBorders>
              <w:top w:val="single" w:sz="4" w:space="0" w:color="auto"/>
              <w:left w:val="single" w:sz="4" w:space="0" w:color="auto"/>
              <w:bottom w:val="single" w:sz="4" w:space="0" w:color="auto"/>
              <w:right w:val="single" w:sz="4" w:space="0" w:color="auto"/>
            </w:tcBorders>
            <w:shd w:val="clear" w:color="auto" w:fill="C0C0C0"/>
          </w:tcPr>
          <w:p w:rsidR="00A91F2C" w:rsidRPr="0085183D" w:rsidRDefault="00A91F2C" w:rsidP="00E45F42">
            <w:pPr>
              <w:rPr>
                <w:b/>
                <w:bCs/>
                <w:sz w:val="20"/>
                <w:szCs w:val="20"/>
                <w:lang w:val="en-US"/>
              </w:rPr>
            </w:pPr>
            <w:r w:rsidRPr="0085183D">
              <w:rPr>
                <w:b/>
                <w:bCs/>
                <w:sz w:val="20"/>
                <w:szCs w:val="20"/>
                <w:lang w:val="en-US"/>
              </w:rPr>
              <w:t>Proposed Audit Coverage</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A91F2C" w:rsidRPr="00A91F2C" w:rsidRDefault="00E051AF" w:rsidP="00E45F42">
            <w:pPr>
              <w:rPr>
                <w:b/>
                <w:bCs/>
                <w:sz w:val="20"/>
                <w:szCs w:val="20"/>
                <w:lang w:val="en-US"/>
              </w:rPr>
            </w:pPr>
            <w:r>
              <w:rPr>
                <w:b/>
                <w:bCs/>
                <w:sz w:val="20"/>
                <w:szCs w:val="20"/>
                <w:lang w:val="en-US"/>
              </w:rPr>
              <w:t>Audit Days</w:t>
            </w:r>
          </w:p>
        </w:tc>
        <w:tc>
          <w:tcPr>
            <w:tcW w:w="676" w:type="dxa"/>
            <w:tcBorders>
              <w:top w:val="single" w:sz="4" w:space="0" w:color="auto"/>
              <w:left w:val="single" w:sz="4" w:space="0" w:color="auto"/>
              <w:bottom w:val="single" w:sz="4" w:space="0" w:color="auto"/>
              <w:right w:val="single" w:sz="4" w:space="0" w:color="auto"/>
            </w:tcBorders>
            <w:shd w:val="clear" w:color="auto" w:fill="C0C0C0"/>
          </w:tcPr>
          <w:p w:rsidR="00A91F2C" w:rsidRPr="0085183D" w:rsidRDefault="00E051AF" w:rsidP="00E051AF">
            <w:pPr>
              <w:jc w:val="center"/>
              <w:rPr>
                <w:b/>
                <w:bCs/>
                <w:sz w:val="20"/>
                <w:szCs w:val="20"/>
                <w:lang w:val="en-US"/>
              </w:rPr>
            </w:pPr>
            <w:r>
              <w:rPr>
                <w:b/>
                <w:bCs/>
                <w:sz w:val="20"/>
                <w:szCs w:val="20"/>
                <w:lang w:val="en-US"/>
              </w:rPr>
              <w:t>Q</w:t>
            </w:r>
          </w:p>
        </w:tc>
      </w:tr>
      <w:tr w:rsidR="007553AF" w:rsidRPr="00766FE0" w:rsidTr="007553AF">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553AF" w:rsidRPr="007553AF" w:rsidRDefault="007553AF" w:rsidP="007553AF">
            <w:pPr>
              <w:jc w:val="center"/>
              <w:rPr>
                <w:b/>
                <w:sz w:val="20"/>
                <w:szCs w:val="20"/>
              </w:rPr>
            </w:pPr>
            <w:r>
              <w:rPr>
                <w:b/>
                <w:sz w:val="20"/>
                <w:szCs w:val="20"/>
              </w:rPr>
              <w:t xml:space="preserve">Core Financial Systems </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6E46D4" w:rsidRDefault="00D667CB" w:rsidP="00A91F2C">
            <w:pPr>
              <w:rPr>
                <w:i/>
                <w:sz w:val="20"/>
                <w:szCs w:val="20"/>
              </w:rPr>
            </w:pPr>
            <w:r>
              <w:rPr>
                <w:sz w:val="20"/>
                <w:szCs w:val="20"/>
              </w:rPr>
              <w:t>Housing Benefit</w:t>
            </w:r>
            <w:r w:rsidR="00E051AF">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E051AF" w:rsidP="009D128D">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 w:rsidRPr="00106736">
              <w:rPr>
                <w:sz w:val="20"/>
                <w:szCs w:val="20"/>
              </w:rPr>
              <w:t xml:space="preserve">Key Control Review, Walkthrough Test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E051AF" w:rsidP="00E051AF">
            <w:pPr>
              <w:jc w:val="center"/>
              <w:rPr>
                <w:sz w:val="20"/>
                <w:szCs w:val="20"/>
              </w:rPr>
            </w:pPr>
            <w:r w:rsidRPr="00E051AF">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6E46D4" w:rsidRDefault="00D667CB" w:rsidP="00A91F2C">
            <w:pPr>
              <w:rPr>
                <w:i/>
                <w:sz w:val="20"/>
                <w:szCs w:val="20"/>
              </w:rPr>
            </w:pPr>
            <w:r>
              <w:rPr>
                <w:sz w:val="20"/>
                <w:szCs w:val="20"/>
              </w:rPr>
              <w:t>Treasury Management</w:t>
            </w:r>
            <w:r w:rsidR="00E051AF" w:rsidRPr="00835E75">
              <w:rPr>
                <w:sz w:val="20"/>
                <w:szCs w:val="20"/>
              </w:rPr>
              <w:t xml:space="preserve"> </w:t>
            </w:r>
            <w:r w:rsidR="00E051AF">
              <w:rPr>
                <w:sz w:val="20"/>
                <w:szCs w:val="20"/>
              </w:rPr>
              <w:t xml:space="preserve">                </w:t>
            </w:r>
            <w:r w:rsidR="00E051AF">
              <w:rPr>
                <w:i/>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D667CB" w:rsidP="00D667CB">
            <w:pPr>
              <w:jc w:val="center"/>
              <w:rPr>
                <w:sz w:val="20"/>
                <w:szCs w:val="20"/>
              </w:rPr>
            </w:pPr>
            <w:r>
              <w:rPr>
                <w:sz w:val="20"/>
                <w:szCs w:val="20"/>
              </w:rPr>
              <w:t>M</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 w:rsidRPr="00106736">
              <w:rPr>
                <w:sz w:val="20"/>
                <w:szCs w:val="20"/>
              </w:rPr>
              <w:t xml:space="preserve">Key Control Review, Walkthrough Test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E051AF"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Default="00D667CB" w:rsidP="009D128D">
            <w:pPr>
              <w:rPr>
                <w:sz w:val="20"/>
                <w:szCs w:val="20"/>
              </w:rPr>
            </w:pPr>
            <w:r>
              <w:rPr>
                <w:sz w:val="20"/>
                <w:szCs w:val="20"/>
              </w:rPr>
              <w:t>Housing Rents</w:t>
            </w:r>
          </w:p>
          <w:p w:rsidR="00E051AF" w:rsidRPr="006E46D4" w:rsidRDefault="00E051AF" w:rsidP="00A91F2C">
            <w:pPr>
              <w:rPr>
                <w:i/>
                <w:sz w:val="20"/>
                <w:szCs w:val="20"/>
              </w:rPr>
            </w:pP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E051AF" w:rsidP="009D128D">
            <w:pPr>
              <w:jc w:val="center"/>
              <w:rPr>
                <w:sz w:val="20"/>
                <w:szCs w:val="20"/>
              </w:rPr>
            </w:pPr>
            <w:r w:rsidRPr="00835E75">
              <w:rPr>
                <w:sz w:val="20"/>
                <w:szCs w:val="20"/>
              </w:rPr>
              <w:t>M</w:t>
            </w:r>
          </w:p>
        </w:tc>
        <w:tc>
          <w:tcPr>
            <w:tcW w:w="3402" w:type="dxa"/>
            <w:tcBorders>
              <w:top w:val="single" w:sz="4" w:space="0" w:color="auto"/>
              <w:left w:val="nil"/>
              <w:bottom w:val="single" w:sz="4" w:space="0" w:color="auto"/>
              <w:right w:val="single" w:sz="4" w:space="0" w:color="auto"/>
            </w:tcBorders>
          </w:tcPr>
          <w:p w:rsidR="00E051AF" w:rsidRDefault="00E051AF" w:rsidP="009D128D">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sidP="00E73CDA">
            <w:r w:rsidRPr="007F6F5C">
              <w:rPr>
                <w:sz w:val="20"/>
                <w:szCs w:val="20"/>
              </w:rPr>
              <w:t>Due a full Key Control Review but Medium risk therefore will undertake an Evidence Based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514775" w:rsidP="00E051AF">
            <w:pPr>
              <w:jc w:val="center"/>
              <w:rPr>
                <w:sz w:val="20"/>
                <w:szCs w:val="20"/>
              </w:rPr>
            </w:pPr>
            <w:r>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D667CB" w:rsidRDefault="00D667CB" w:rsidP="00A91F2C">
            <w:pPr>
              <w:rPr>
                <w:iCs/>
                <w:sz w:val="20"/>
                <w:szCs w:val="20"/>
              </w:rPr>
            </w:pPr>
            <w:r w:rsidRPr="00D667CB">
              <w:rPr>
                <w:iCs/>
                <w:sz w:val="20"/>
                <w:szCs w:val="20"/>
              </w:rPr>
              <w:t>Business Rates</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E051AF" w:rsidP="009D128D">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rsidR="00E051AF" w:rsidRPr="00835E75" w:rsidRDefault="00E051AF" w:rsidP="009D128D">
            <w:pPr>
              <w:rPr>
                <w:sz w:val="20"/>
                <w:szCs w:val="20"/>
              </w:rPr>
            </w:pPr>
            <w:r>
              <w:rPr>
                <w:sz w:val="20"/>
                <w:szCs w:val="20"/>
              </w:rPr>
              <w:t xml:space="preserve">Core Financial System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sidP="009D128D">
            <w:r w:rsidRPr="0056114A">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E051AF"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835E75" w:rsidRDefault="00D667CB" w:rsidP="00A91F2C">
            <w:pPr>
              <w:rPr>
                <w:sz w:val="20"/>
                <w:szCs w:val="20"/>
              </w:rPr>
            </w:pPr>
            <w:r>
              <w:rPr>
                <w:sz w:val="20"/>
                <w:szCs w:val="20"/>
              </w:rPr>
              <w:t>Capital expenditure</w:t>
            </w:r>
            <w:r w:rsidR="00E051AF" w:rsidRPr="00835E75">
              <w:rPr>
                <w:sz w:val="20"/>
                <w:szCs w:val="20"/>
              </w:rPr>
              <w:t xml:space="preserve"> </w:t>
            </w:r>
            <w:r w:rsidR="00E051AF">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D667CB" w:rsidP="00D667CB">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 w:rsidRPr="0056114A">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E051AF"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835E75" w:rsidRDefault="00E051AF" w:rsidP="00A91F2C">
            <w:pPr>
              <w:rPr>
                <w:sz w:val="20"/>
                <w:szCs w:val="20"/>
              </w:rPr>
            </w:pPr>
            <w:r w:rsidRPr="00835E75">
              <w:rPr>
                <w:sz w:val="20"/>
                <w:szCs w:val="20"/>
              </w:rPr>
              <w:t xml:space="preserve">Corporate Accounts </w:t>
            </w:r>
            <w:r w:rsidR="00D667CB">
              <w:rPr>
                <w:sz w:val="20"/>
                <w:szCs w:val="20"/>
              </w:rPr>
              <w:t>Receivable</w:t>
            </w:r>
            <w:r w:rsidRPr="00835E75">
              <w:rPr>
                <w:sz w:val="20"/>
                <w:szCs w:val="20"/>
              </w:rPr>
              <w:t xml:space="preserve"> </w:t>
            </w: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F117BE" w:rsidP="00F117BE">
            <w:pPr>
              <w:jc w:val="center"/>
              <w:rPr>
                <w:sz w:val="20"/>
                <w:szCs w:val="20"/>
              </w:rPr>
            </w:pPr>
            <w:r>
              <w:rPr>
                <w:sz w:val="20"/>
                <w:szCs w:val="20"/>
              </w:rPr>
              <w:t>M</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 w:rsidRPr="0056114A">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E051AF"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E051AF" w:rsidRPr="00E44FD9" w:rsidRDefault="00D667CB" w:rsidP="00D667CB">
            <w:pPr>
              <w:rPr>
                <w:i/>
                <w:sz w:val="20"/>
                <w:szCs w:val="20"/>
              </w:rPr>
            </w:pPr>
            <w:r>
              <w:rPr>
                <w:sz w:val="20"/>
                <w:szCs w:val="20"/>
              </w:rPr>
              <w:t>Corporate Accounts Payable</w:t>
            </w:r>
            <w:r w:rsidR="00E051AF" w:rsidRPr="00835E75">
              <w:rPr>
                <w:sz w:val="20"/>
                <w:szCs w:val="20"/>
              </w:rPr>
              <w:t xml:space="preserve"> </w:t>
            </w:r>
            <w:r w:rsidR="00E051AF">
              <w:rPr>
                <w:i/>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E051AF" w:rsidRPr="00835E75" w:rsidRDefault="00D667CB" w:rsidP="00D667CB">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E051AF" w:rsidRPr="00835E75" w:rsidRDefault="00E051AF" w:rsidP="004E44AB">
            <w:pPr>
              <w:rPr>
                <w:sz w:val="20"/>
                <w:szCs w:val="20"/>
              </w:rPr>
            </w:pPr>
            <w:r w:rsidRPr="007F6F5C">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051AF" w:rsidRPr="00E051AF" w:rsidRDefault="00D667CB"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835E75" w:rsidRDefault="00D667CB" w:rsidP="00A91F2C">
            <w:pPr>
              <w:rPr>
                <w:sz w:val="20"/>
                <w:szCs w:val="20"/>
              </w:rPr>
            </w:pPr>
            <w:r>
              <w:rPr>
                <w:sz w:val="20"/>
                <w:szCs w:val="20"/>
              </w:rPr>
              <w:t>Payroll</w:t>
            </w:r>
            <w:r w:rsidR="00E051AF">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E051AF" w:rsidP="00E45F42">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Pr="00835E75" w:rsidRDefault="00E051AF" w:rsidP="00E45F42">
            <w:pPr>
              <w:rPr>
                <w:sz w:val="20"/>
                <w:szCs w:val="20"/>
              </w:rPr>
            </w:pPr>
            <w:r w:rsidRPr="00E44FD9">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835E75" w:rsidRDefault="00E051AF" w:rsidP="00A91F2C">
            <w:pPr>
              <w:rPr>
                <w:sz w:val="20"/>
                <w:szCs w:val="20"/>
              </w:rPr>
            </w:pPr>
            <w:r w:rsidRPr="00835E75">
              <w:rPr>
                <w:sz w:val="20"/>
                <w:szCs w:val="20"/>
              </w:rPr>
              <w:t>C</w:t>
            </w:r>
            <w:r w:rsidR="00D667CB">
              <w:rPr>
                <w:sz w:val="20"/>
                <w:szCs w:val="20"/>
              </w:rPr>
              <w:t>ouncil Tax</w:t>
            </w:r>
            <w:r w:rsidRPr="00835E75">
              <w:rPr>
                <w:sz w:val="20"/>
                <w:szCs w:val="20"/>
              </w:rPr>
              <w:t xml:space="preserve"> </w:t>
            </w: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E051AF" w:rsidP="00E45F42">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Pr="00835E75" w:rsidRDefault="00E051AF" w:rsidP="00E45F42">
            <w:pPr>
              <w:rPr>
                <w:sz w:val="20"/>
                <w:szCs w:val="20"/>
              </w:rPr>
            </w:pPr>
            <w:r w:rsidRPr="00E44FD9">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7553AF" w:rsidRPr="00915B3F" w:rsidTr="007553AF">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553AF" w:rsidRPr="007553AF" w:rsidRDefault="007553AF" w:rsidP="007553AF">
            <w:pPr>
              <w:jc w:val="center"/>
              <w:rPr>
                <w:b/>
                <w:sz w:val="20"/>
                <w:szCs w:val="20"/>
              </w:rPr>
            </w:pPr>
            <w:r>
              <w:rPr>
                <w:b/>
                <w:sz w:val="20"/>
                <w:szCs w:val="20"/>
              </w:rPr>
              <w:t>IT</w:t>
            </w:r>
          </w:p>
        </w:tc>
      </w:tr>
      <w:tr w:rsidR="00F21F16" w:rsidRPr="00915B3F"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514775" w:rsidP="0071372F">
            <w:pPr>
              <w:rPr>
                <w:sz w:val="20"/>
                <w:szCs w:val="20"/>
              </w:rPr>
            </w:pPr>
            <w:r>
              <w:rPr>
                <w:sz w:val="20"/>
                <w:szCs w:val="20"/>
              </w:rPr>
              <w:t>Replacement ERP System</w:t>
            </w:r>
          </w:p>
          <w:p w:rsidR="00F21F16" w:rsidRPr="006E46D4" w:rsidRDefault="00F21F16" w:rsidP="0071372F">
            <w:pPr>
              <w:rPr>
                <w:i/>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F21F16" w:rsidRPr="005E090F" w:rsidRDefault="00F21F16"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F21F16" w:rsidRPr="004A3680" w:rsidRDefault="00514775" w:rsidP="00FD67EF">
            <w:pPr>
              <w:rPr>
                <w:sz w:val="20"/>
                <w:szCs w:val="20"/>
                <w:highlight w:val="yellow"/>
              </w:rPr>
            </w:pPr>
            <w:r w:rsidRPr="00514775">
              <w:rPr>
                <w:sz w:val="20"/>
                <w:szCs w:val="20"/>
              </w:rPr>
              <w:t>Replacement of major IT system</w:t>
            </w:r>
            <w:r>
              <w:rPr>
                <w:sz w:val="20"/>
                <w:szCs w:val="20"/>
              </w:rPr>
              <w:t xml:space="preserve"> as part of the modernisation agenda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5E090F" w:rsidRDefault="00514775" w:rsidP="00E45F42">
            <w:pPr>
              <w:rPr>
                <w:sz w:val="20"/>
                <w:szCs w:val="20"/>
              </w:rPr>
            </w:pPr>
            <w:r w:rsidRPr="00514775">
              <w:rPr>
                <w:sz w:val="20"/>
                <w:szCs w:val="20"/>
              </w:rPr>
              <w:t xml:space="preserve">Ongoing audit input to development of </w:t>
            </w:r>
            <w:r>
              <w:rPr>
                <w:sz w:val="20"/>
                <w:szCs w:val="20"/>
              </w:rPr>
              <w:t>r</w:t>
            </w:r>
            <w:r w:rsidRPr="00514775">
              <w:rPr>
                <w:sz w:val="20"/>
                <w:szCs w:val="20"/>
              </w:rPr>
              <w:t>eplacement ERP system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5E090F" w:rsidRDefault="00514775" w:rsidP="00F21F16">
            <w:pPr>
              <w:jc w:val="center"/>
              <w:rPr>
                <w:sz w:val="20"/>
                <w:szCs w:val="20"/>
              </w:rPr>
            </w:pPr>
            <w:r>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5E090F" w:rsidRDefault="00514775" w:rsidP="00514775">
            <w:pPr>
              <w:rPr>
                <w:sz w:val="20"/>
                <w:szCs w:val="20"/>
              </w:rPr>
            </w:pPr>
            <w:r>
              <w:rPr>
                <w:sz w:val="20"/>
                <w:szCs w:val="20"/>
              </w:rPr>
              <w:t>Q1-4</w:t>
            </w:r>
          </w:p>
        </w:tc>
      </w:tr>
      <w:tr w:rsidR="00431402" w:rsidRPr="0052462F" w:rsidTr="00431402">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31402" w:rsidRPr="00431402" w:rsidRDefault="00F21F16" w:rsidP="00431402">
            <w:pPr>
              <w:jc w:val="center"/>
              <w:rPr>
                <w:b/>
                <w:sz w:val="20"/>
                <w:szCs w:val="20"/>
              </w:rPr>
            </w:pPr>
            <w:r>
              <w:br w:type="page"/>
            </w:r>
            <w:r w:rsidR="00431402">
              <w:rPr>
                <w:b/>
                <w:sz w:val="20"/>
                <w:szCs w:val="20"/>
              </w:rPr>
              <w:t>Corporate Compliance Checks</w:t>
            </w:r>
          </w:p>
        </w:tc>
      </w:tr>
      <w:tr w:rsidR="00514775" w:rsidRPr="00E840BE"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4775" w:rsidRPr="00E840BE" w:rsidRDefault="00514775" w:rsidP="00514775">
            <w:pPr>
              <w:rPr>
                <w:sz w:val="20"/>
                <w:szCs w:val="20"/>
              </w:rPr>
            </w:pPr>
            <w:r>
              <w:rPr>
                <w:sz w:val="20"/>
                <w:szCs w:val="20"/>
              </w:rPr>
              <w:t xml:space="preserve">Contract Procedure Rules (Annual Assurance)                                                         </w:t>
            </w:r>
          </w:p>
          <w:p w:rsidR="00514775" w:rsidRPr="00E840BE" w:rsidRDefault="00514775" w:rsidP="00514775">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Default="00514775" w:rsidP="00514775">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Default="00514775" w:rsidP="00514775">
            <w:pPr>
              <w:rPr>
                <w:sz w:val="20"/>
                <w:szCs w:val="20"/>
              </w:rPr>
            </w:pPr>
            <w:r>
              <w:rPr>
                <w:sz w:val="20"/>
                <w:szCs w:val="20"/>
              </w:rPr>
              <w:t>To obtain assurance and to feed into future updating of Contract Procedure Rules</w:t>
            </w:r>
            <w:r w:rsidR="000B5941">
              <w:rPr>
                <w:sz w:val="20"/>
                <w:szCs w:val="20"/>
              </w:rPr>
              <w:t xml:space="preserve"> and following the findings of the Depot – Additional Works Review</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514775" w:rsidP="00514775">
            <w:pPr>
              <w:rPr>
                <w:sz w:val="20"/>
                <w:szCs w:val="20"/>
              </w:rPr>
            </w:pPr>
            <w:r w:rsidRPr="00E840BE">
              <w:rPr>
                <w:sz w:val="20"/>
                <w:szCs w:val="20"/>
              </w:rPr>
              <w:t>Sample check</w:t>
            </w:r>
            <w:r>
              <w:rPr>
                <w:sz w:val="20"/>
                <w:szCs w:val="20"/>
              </w:rPr>
              <w:t xml:space="preserve">s across the council to ensure </w:t>
            </w:r>
            <w:r w:rsidRPr="00E840BE">
              <w:rPr>
                <w:sz w:val="20"/>
                <w:szCs w:val="20"/>
              </w:rPr>
              <w:t xml:space="preserve">that </w:t>
            </w:r>
            <w:r>
              <w:rPr>
                <w:sz w:val="20"/>
                <w:szCs w:val="20"/>
              </w:rPr>
              <w:t>Contract Procedure Rules</w:t>
            </w:r>
            <w:r w:rsidRPr="00E840BE">
              <w:rPr>
                <w:sz w:val="20"/>
                <w:szCs w:val="20"/>
              </w:rPr>
              <w:t xml:space="preserve"> are </w:t>
            </w:r>
            <w:r>
              <w:rPr>
                <w:sz w:val="20"/>
                <w:szCs w:val="20"/>
              </w:rPr>
              <w:t xml:space="preserve">understood and </w:t>
            </w:r>
            <w:r w:rsidRPr="00E840BE">
              <w:rPr>
                <w:sz w:val="20"/>
                <w:szCs w:val="20"/>
              </w:rPr>
              <w:t>being adhered to</w:t>
            </w:r>
            <w:r>
              <w:rPr>
                <w:sz w:val="20"/>
                <w:szCs w:val="20"/>
              </w:rPr>
              <w:t xml:space="preserve"> concentrate on Gateway 2 reports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514775" w:rsidP="00514775">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514775" w:rsidP="00514775">
            <w:pPr>
              <w:jc w:val="center"/>
              <w:rPr>
                <w:sz w:val="20"/>
                <w:szCs w:val="20"/>
              </w:rPr>
            </w:pPr>
            <w:r>
              <w:rPr>
                <w:sz w:val="20"/>
                <w:szCs w:val="20"/>
              </w:rPr>
              <w:t>Q</w:t>
            </w:r>
            <w:r w:rsidR="000B5941">
              <w:rPr>
                <w:sz w:val="20"/>
                <w:szCs w:val="20"/>
              </w:rPr>
              <w:t>3/</w:t>
            </w:r>
            <w:r>
              <w:rPr>
                <w:sz w:val="20"/>
                <w:szCs w:val="20"/>
              </w:rPr>
              <w:t>4</w:t>
            </w:r>
          </w:p>
        </w:tc>
      </w:tr>
      <w:tr w:rsidR="00514775" w:rsidRPr="00E840BE"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4775" w:rsidRDefault="00514775" w:rsidP="00514775">
            <w:pPr>
              <w:rPr>
                <w:sz w:val="20"/>
                <w:szCs w:val="20"/>
              </w:rPr>
            </w:pPr>
            <w:r w:rsidRPr="00E840BE">
              <w:rPr>
                <w:sz w:val="20"/>
                <w:szCs w:val="20"/>
              </w:rPr>
              <w:t>Financial Regulations</w:t>
            </w:r>
            <w:r>
              <w:rPr>
                <w:sz w:val="20"/>
                <w:szCs w:val="20"/>
              </w:rPr>
              <w:t xml:space="preserve"> (Annual Assurance)  </w:t>
            </w:r>
          </w:p>
          <w:p w:rsidR="00514775" w:rsidRDefault="00514775" w:rsidP="00514775">
            <w:pPr>
              <w:rPr>
                <w:sz w:val="20"/>
                <w:szCs w:val="20"/>
              </w:rPr>
            </w:pPr>
          </w:p>
          <w:p w:rsidR="00514775" w:rsidRPr="00E840BE" w:rsidRDefault="00514775" w:rsidP="00514775">
            <w:pPr>
              <w:rPr>
                <w:sz w:val="20"/>
                <w:szCs w:val="20"/>
              </w:rPr>
            </w:pPr>
            <w:r>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514775" w:rsidP="00514775">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514775" w:rsidP="00514775">
            <w:pPr>
              <w:rPr>
                <w:sz w:val="20"/>
                <w:szCs w:val="20"/>
              </w:rPr>
            </w:pPr>
            <w:r>
              <w:rPr>
                <w:sz w:val="20"/>
                <w:szCs w:val="20"/>
              </w:rPr>
              <w:t xml:space="preserve">To obtain assurance following the updating of Financial Regulations during 18/19 and the findings of the Depot </w:t>
            </w:r>
            <w:r w:rsidR="000B5941">
              <w:rPr>
                <w:sz w:val="20"/>
                <w:szCs w:val="20"/>
              </w:rPr>
              <w:t xml:space="preserve">– Additional Works Review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514775" w:rsidP="00514775">
            <w:pPr>
              <w:rPr>
                <w:sz w:val="20"/>
                <w:szCs w:val="20"/>
              </w:rPr>
            </w:pPr>
            <w:r w:rsidRPr="00E840BE">
              <w:rPr>
                <w:sz w:val="20"/>
                <w:szCs w:val="20"/>
              </w:rPr>
              <w:t>Sample check</w:t>
            </w:r>
            <w:r>
              <w:rPr>
                <w:sz w:val="20"/>
                <w:szCs w:val="20"/>
              </w:rPr>
              <w:t xml:space="preserve">s across the council to ensure </w:t>
            </w:r>
            <w:r w:rsidRPr="00E840BE">
              <w:rPr>
                <w:sz w:val="20"/>
                <w:szCs w:val="20"/>
              </w:rPr>
              <w:t xml:space="preserve">that Financial Regulations are </w:t>
            </w:r>
            <w:r>
              <w:rPr>
                <w:sz w:val="20"/>
                <w:szCs w:val="20"/>
              </w:rPr>
              <w:t xml:space="preserve">understood and </w:t>
            </w:r>
            <w:r w:rsidRPr="00E840BE">
              <w:rPr>
                <w:sz w:val="20"/>
                <w:szCs w:val="20"/>
              </w:rPr>
              <w:t xml:space="preserve">being adhered to </w:t>
            </w:r>
            <w:r>
              <w:rPr>
                <w:sz w:val="20"/>
                <w:szCs w:val="20"/>
              </w:rPr>
              <w:t>concentrating on expenditure allocation within capital projects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D05C89" w:rsidP="00514775">
            <w:pPr>
              <w:jc w:val="center"/>
              <w:rPr>
                <w:sz w:val="20"/>
                <w:szCs w:val="20"/>
              </w:rPr>
            </w:pPr>
            <w:r>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514775" w:rsidP="00514775">
            <w:pPr>
              <w:jc w:val="center"/>
              <w:rPr>
                <w:sz w:val="20"/>
                <w:szCs w:val="20"/>
              </w:rPr>
            </w:pPr>
            <w:r>
              <w:rPr>
                <w:sz w:val="20"/>
                <w:szCs w:val="20"/>
              </w:rPr>
              <w:t>Q3/4</w:t>
            </w:r>
          </w:p>
        </w:tc>
      </w:tr>
      <w:tr w:rsidR="00514775" w:rsidRPr="00E840BE"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4775" w:rsidRPr="00D05C89" w:rsidRDefault="00D05C89" w:rsidP="00514775">
            <w:pPr>
              <w:rPr>
                <w:iCs/>
                <w:sz w:val="20"/>
                <w:szCs w:val="20"/>
              </w:rPr>
            </w:pPr>
            <w:r w:rsidRPr="00D05C89">
              <w:rPr>
                <w:iCs/>
                <w:sz w:val="20"/>
                <w:szCs w:val="20"/>
              </w:rPr>
              <w:t>Adults Financial Assessments (Residential + non-residential)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Default="00D05C89" w:rsidP="00514775">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7A570B" w:rsidRDefault="00D05C89" w:rsidP="00514775">
            <w:pPr>
              <w:rPr>
                <w:sz w:val="20"/>
                <w:szCs w:val="20"/>
              </w:rPr>
            </w:pPr>
            <w:r>
              <w:rPr>
                <w:b/>
                <w:bCs/>
                <w:sz w:val="20"/>
                <w:szCs w:val="20"/>
              </w:rPr>
              <w:t>Links to Corporate Priority:</w:t>
            </w:r>
            <w:r w:rsidR="007A570B">
              <w:rPr>
                <w:b/>
                <w:bCs/>
                <w:sz w:val="20"/>
                <w:szCs w:val="20"/>
              </w:rPr>
              <w:t xml:space="preserve"> </w:t>
            </w:r>
            <w:r w:rsidR="007A570B">
              <w:rPr>
                <w:sz w:val="20"/>
                <w:szCs w:val="20"/>
              </w:rPr>
              <w:t>Addressing health and social care inequality</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D05C89" w:rsidP="00514775">
            <w:pPr>
              <w:rPr>
                <w:sz w:val="20"/>
                <w:szCs w:val="20"/>
              </w:rPr>
            </w:pPr>
            <w:r w:rsidRPr="00D05C89">
              <w:rPr>
                <w:sz w:val="20"/>
                <w:szCs w:val="20"/>
              </w:rPr>
              <w:t xml:space="preserve">Sample testing of financial assessments for residential and non-residential care to ensure </w:t>
            </w:r>
            <w:r w:rsidRPr="00D05C89">
              <w:rPr>
                <w:sz w:val="20"/>
                <w:szCs w:val="20"/>
              </w:rPr>
              <w:lastRenderedPageBreak/>
              <w:t>assessments are being undertaken and assessed correctly for the new arrangements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D05C89" w:rsidP="00514775">
            <w:pPr>
              <w:jc w:val="center"/>
              <w:rPr>
                <w:sz w:val="20"/>
                <w:szCs w:val="20"/>
              </w:rPr>
            </w:pPr>
            <w:r>
              <w:rPr>
                <w:sz w:val="20"/>
                <w:szCs w:val="20"/>
              </w:rPr>
              <w:lastRenderedPageBreak/>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D05C89" w:rsidP="00514775">
            <w:pPr>
              <w:jc w:val="center"/>
              <w:rPr>
                <w:sz w:val="20"/>
                <w:szCs w:val="20"/>
              </w:rPr>
            </w:pPr>
            <w:r>
              <w:rPr>
                <w:sz w:val="20"/>
                <w:szCs w:val="20"/>
              </w:rPr>
              <w:t>Q4</w:t>
            </w:r>
          </w:p>
        </w:tc>
      </w:tr>
      <w:tr w:rsidR="00514775" w:rsidRPr="00E840BE"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4775" w:rsidRPr="00D05C89" w:rsidRDefault="00D05C89" w:rsidP="00514775">
            <w:pPr>
              <w:rPr>
                <w:iCs/>
                <w:color w:val="0070C0"/>
                <w:sz w:val="20"/>
                <w:szCs w:val="20"/>
              </w:rPr>
            </w:pPr>
            <w:r>
              <w:rPr>
                <w:iCs/>
                <w:sz w:val="20"/>
                <w:szCs w:val="20"/>
              </w:rPr>
              <w:t xml:space="preserve">Adult Social Care - </w:t>
            </w:r>
            <w:r w:rsidRPr="00D05C89">
              <w:rPr>
                <w:iCs/>
                <w:sz w:val="20"/>
                <w:szCs w:val="20"/>
              </w:rPr>
              <w:t xml:space="preserve">Personal Budgets Monitoring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Default="00D05C89" w:rsidP="00514775">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Default="00D05C89" w:rsidP="00514775">
            <w:pPr>
              <w:rPr>
                <w:sz w:val="20"/>
                <w:szCs w:val="20"/>
              </w:rPr>
            </w:pPr>
            <w:r>
              <w:rPr>
                <w:sz w:val="20"/>
                <w:szCs w:val="20"/>
              </w:rPr>
              <w:t>Carry forward from 2019/20 plan</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D05C89" w:rsidP="00514775">
            <w:pPr>
              <w:rPr>
                <w:sz w:val="20"/>
                <w:szCs w:val="20"/>
              </w:rPr>
            </w:pPr>
            <w:r w:rsidRPr="00D05C89">
              <w:rPr>
                <w:sz w:val="20"/>
                <w:szCs w:val="20"/>
              </w:rPr>
              <w:t>Sample testing of cash personal budgets to ensure that monitoring is taking place on a regular basis, funds are being spent appropriately and surplus funds are recovered where appropriate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BE6ED6" w:rsidP="00514775">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E840BE" w:rsidRDefault="00BE6ED6" w:rsidP="00514775">
            <w:pPr>
              <w:jc w:val="center"/>
              <w:rPr>
                <w:sz w:val="20"/>
                <w:szCs w:val="20"/>
              </w:rPr>
            </w:pPr>
            <w:r>
              <w:rPr>
                <w:sz w:val="20"/>
                <w:szCs w:val="20"/>
              </w:rPr>
              <w:t>Q4</w:t>
            </w:r>
          </w:p>
        </w:tc>
      </w:tr>
      <w:tr w:rsidR="00BE6ED6" w:rsidRPr="00E840BE"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ED6" w:rsidRDefault="00BE6ED6" w:rsidP="00514775">
            <w:pPr>
              <w:rPr>
                <w:iCs/>
                <w:sz w:val="20"/>
                <w:szCs w:val="20"/>
              </w:rPr>
            </w:pPr>
            <w:r w:rsidRPr="00BE6ED6">
              <w:rPr>
                <w:iCs/>
                <w:sz w:val="20"/>
                <w:szCs w:val="20"/>
              </w:rPr>
              <w:t>Invoice Payments - adherence to Fin Regs VAT invoice requirements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E6ED6" w:rsidP="00514775">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E6ED6" w:rsidP="00514775">
            <w:pPr>
              <w:rPr>
                <w:sz w:val="20"/>
                <w:szCs w:val="20"/>
              </w:rPr>
            </w:pPr>
            <w:r w:rsidRPr="00BE6ED6">
              <w:rPr>
                <w:sz w:val="20"/>
                <w:szCs w:val="20"/>
              </w:rPr>
              <w:t>Following on from an issue</w:t>
            </w:r>
            <w:r>
              <w:rPr>
                <w:sz w:val="20"/>
                <w:szCs w:val="20"/>
              </w:rPr>
              <w:t xml:space="preserve"> identified</w:t>
            </w:r>
            <w:r w:rsidRPr="00BE6ED6">
              <w:rPr>
                <w:sz w:val="20"/>
                <w:szCs w:val="20"/>
              </w:rPr>
              <w:t xml:space="preserve"> in 2019/20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Pr="00D05C89" w:rsidRDefault="00BE6ED6" w:rsidP="00514775">
            <w:pPr>
              <w:rPr>
                <w:sz w:val="20"/>
                <w:szCs w:val="20"/>
              </w:rPr>
            </w:pPr>
            <w:r>
              <w:rPr>
                <w:sz w:val="20"/>
                <w:szCs w:val="20"/>
              </w:rPr>
              <w:t>S</w:t>
            </w:r>
            <w:r w:rsidRPr="00BE6ED6">
              <w:rPr>
                <w:sz w:val="20"/>
                <w:szCs w:val="20"/>
              </w:rPr>
              <w:t>ample testing of invoices to ensure they are being paid in compliance with Financial Regulations in relation to a valid VAT invoice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E6ED6" w:rsidP="00514775">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E6ED6" w:rsidP="00514775">
            <w:pPr>
              <w:jc w:val="center"/>
              <w:rPr>
                <w:sz w:val="20"/>
                <w:szCs w:val="20"/>
              </w:rPr>
            </w:pPr>
            <w:r>
              <w:rPr>
                <w:sz w:val="20"/>
                <w:szCs w:val="20"/>
              </w:rPr>
              <w:t>Q4</w:t>
            </w:r>
          </w:p>
        </w:tc>
      </w:tr>
      <w:tr w:rsidR="00BE6ED6" w:rsidRPr="00E840BE"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ED6" w:rsidRDefault="00BE6ED6" w:rsidP="00514775">
            <w:pPr>
              <w:rPr>
                <w:iCs/>
                <w:sz w:val="20"/>
                <w:szCs w:val="20"/>
              </w:rPr>
            </w:pPr>
            <w:r w:rsidRPr="00BE6ED6">
              <w:rPr>
                <w:iCs/>
                <w:sz w:val="20"/>
                <w:szCs w:val="20"/>
              </w:rPr>
              <w:t>Purchase Card expenditure during Covid-19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E6ED6" w:rsidP="00514775">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E6ED6" w:rsidP="00514775">
            <w:pPr>
              <w:rPr>
                <w:sz w:val="20"/>
                <w:szCs w:val="20"/>
              </w:rPr>
            </w:pPr>
            <w:r>
              <w:rPr>
                <w:sz w:val="20"/>
                <w:szCs w:val="20"/>
              </w:rPr>
              <w:t>Following reports of issues identified in other London Boroughs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Pr="00D05C89" w:rsidRDefault="00BE6ED6" w:rsidP="00514775">
            <w:pPr>
              <w:rPr>
                <w:sz w:val="20"/>
                <w:szCs w:val="20"/>
              </w:rPr>
            </w:pPr>
            <w:r w:rsidRPr="00BE6ED6">
              <w:rPr>
                <w:sz w:val="20"/>
                <w:szCs w:val="20"/>
              </w:rPr>
              <w:t>Sample testing of purchase card transactions covering the Pre-Covid19 and during Covid19 periods to establish whether the transactions made during these periods were in accordance with Council policy</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E6ED6" w:rsidP="00514775">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E6ED6" w:rsidP="00514775">
            <w:pPr>
              <w:jc w:val="center"/>
              <w:rPr>
                <w:sz w:val="20"/>
                <w:szCs w:val="20"/>
              </w:rPr>
            </w:pPr>
            <w:r>
              <w:rPr>
                <w:sz w:val="20"/>
                <w:szCs w:val="20"/>
              </w:rPr>
              <w:t>Q2</w:t>
            </w:r>
          </w:p>
        </w:tc>
      </w:tr>
      <w:tr w:rsidR="00BE6ED6" w:rsidRPr="00E840BE"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ED6" w:rsidRDefault="00BE6ED6" w:rsidP="00514775">
            <w:pPr>
              <w:rPr>
                <w:iCs/>
                <w:sz w:val="20"/>
                <w:szCs w:val="20"/>
              </w:rPr>
            </w:pPr>
            <w:r w:rsidRPr="00BE6ED6">
              <w:rPr>
                <w:iCs/>
                <w:sz w:val="20"/>
                <w:szCs w:val="20"/>
              </w:rPr>
              <w:t>Fees &amp; Charges (Annual Assurance)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E6ED6" w:rsidP="00514775">
            <w:pPr>
              <w:jc w:val="center"/>
              <w:rPr>
                <w:sz w:val="20"/>
                <w:szCs w:val="20"/>
              </w:rPr>
            </w:pPr>
            <w:r>
              <w:rPr>
                <w:sz w:val="20"/>
                <w:szCs w:val="20"/>
              </w:rPr>
              <w:t>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D4748" w:rsidP="00514775">
            <w:pPr>
              <w:rPr>
                <w:sz w:val="20"/>
                <w:szCs w:val="20"/>
              </w:rPr>
            </w:pPr>
            <w:r>
              <w:rPr>
                <w:sz w:val="20"/>
                <w:szCs w:val="20"/>
              </w:rPr>
              <w:t>Following an Issue identified during 2019/20 and discussion with Director of Finance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Pr="00D05C89" w:rsidRDefault="00BD4748" w:rsidP="00514775">
            <w:pPr>
              <w:rPr>
                <w:sz w:val="20"/>
                <w:szCs w:val="20"/>
              </w:rPr>
            </w:pPr>
            <w:r w:rsidRPr="00BD4748">
              <w:rPr>
                <w:sz w:val="20"/>
                <w:szCs w:val="20"/>
              </w:rPr>
              <w:t>Annual check that Fees and Charges are being applied in accordance with Council decision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D4748" w:rsidP="00514775">
            <w:pPr>
              <w:jc w:val="center"/>
              <w:rPr>
                <w:sz w:val="20"/>
                <w:szCs w:val="20"/>
              </w:rPr>
            </w:pPr>
            <w:r>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BE6ED6" w:rsidRDefault="00BD4748" w:rsidP="00514775">
            <w:pPr>
              <w:jc w:val="center"/>
              <w:rPr>
                <w:sz w:val="20"/>
                <w:szCs w:val="20"/>
              </w:rPr>
            </w:pPr>
            <w:r>
              <w:rPr>
                <w:sz w:val="20"/>
                <w:szCs w:val="20"/>
              </w:rPr>
              <w:t>Q3</w:t>
            </w:r>
          </w:p>
        </w:tc>
      </w:tr>
      <w:tr w:rsidR="00514775" w:rsidRPr="00766FE0" w:rsidTr="00431402">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14775" w:rsidRPr="00431402" w:rsidRDefault="00514775" w:rsidP="00514775">
            <w:pPr>
              <w:jc w:val="center"/>
              <w:rPr>
                <w:b/>
                <w:sz w:val="20"/>
                <w:szCs w:val="20"/>
                <w:lang w:val="en-US"/>
              </w:rPr>
            </w:pPr>
            <w:r>
              <w:rPr>
                <w:b/>
                <w:sz w:val="20"/>
                <w:szCs w:val="20"/>
                <w:lang w:val="en-US"/>
              </w:rPr>
              <w:t>Corporate Risk Based/Governance Reviews</w:t>
            </w:r>
          </w:p>
        </w:tc>
      </w:tr>
      <w:tr w:rsidR="00514775" w:rsidRPr="00766FE0"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4775" w:rsidRDefault="00514775" w:rsidP="00514775">
            <w:pPr>
              <w:rPr>
                <w:sz w:val="20"/>
                <w:szCs w:val="20"/>
                <w:lang w:val="en-US"/>
              </w:rPr>
            </w:pPr>
            <w:r w:rsidRPr="00766FE0">
              <w:rPr>
                <w:sz w:val="20"/>
                <w:szCs w:val="20"/>
                <w:lang w:val="en-US"/>
              </w:rPr>
              <w:t>Corporate Governance</w:t>
            </w:r>
          </w:p>
          <w:p w:rsidR="00514775" w:rsidRDefault="00514775" w:rsidP="00514775">
            <w:pPr>
              <w:rPr>
                <w:sz w:val="20"/>
                <w:szCs w:val="20"/>
                <w:lang w:val="en-US"/>
              </w:rPr>
            </w:pPr>
          </w:p>
          <w:p w:rsidR="00514775" w:rsidRDefault="00514775" w:rsidP="00514775">
            <w:pPr>
              <w:rPr>
                <w:sz w:val="20"/>
                <w:szCs w:val="20"/>
                <w:lang w:val="en-US"/>
              </w:rPr>
            </w:pPr>
          </w:p>
          <w:p w:rsidR="00514775" w:rsidRDefault="00514775" w:rsidP="00514775">
            <w:pPr>
              <w:rPr>
                <w:sz w:val="20"/>
                <w:szCs w:val="20"/>
                <w:lang w:val="en-US"/>
              </w:rPr>
            </w:pPr>
          </w:p>
          <w:p w:rsidR="00514775" w:rsidRDefault="00514775" w:rsidP="00514775">
            <w:pPr>
              <w:rPr>
                <w:sz w:val="20"/>
                <w:szCs w:val="20"/>
                <w:lang w:val="en-US"/>
              </w:rPr>
            </w:pPr>
          </w:p>
          <w:p w:rsidR="00514775" w:rsidRPr="005E0520" w:rsidRDefault="00514775" w:rsidP="00514775">
            <w:pPr>
              <w:rPr>
                <w:i/>
                <w:color w:val="8DB3E2" w:themeColor="text2" w:themeTint="66"/>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514775" w:rsidRPr="00766FE0" w:rsidRDefault="00514775" w:rsidP="00514775">
            <w:pPr>
              <w:jc w:val="center"/>
              <w:rPr>
                <w:sz w:val="20"/>
                <w:szCs w:val="20"/>
                <w:lang w:val="en-US"/>
              </w:rPr>
            </w:pPr>
            <w:r>
              <w:rPr>
                <w:sz w:val="20"/>
                <w:szCs w:val="20"/>
                <w:lang w:val="en-US"/>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514775" w:rsidRPr="00765B23" w:rsidRDefault="00514775" w:rsidP="00514775">
            <w:pPr>
              <w:rPr>
                <w:i/>
                <w:sz w:val="20"/>
                <w:szCs w:val="20"/>
                <w:lang w:val="en-US"/>
              </w:rPr>
            </w:pPr>
            <w:r w:rsidRPr="003950C1">
              <w:rPr>
                <w:b/>
                <w:sz w:val="20"/>
                <w:szCs w:val="20"/>
                <w:lang w:val="en-US"/>
              </w:rPr>
              <w:t>Requirement under the Accounts &amp; Audit Regulations 2015:</w:t>
            </w:r>
            <w:r>
              <w:rPr>
                <w:sz w:val="20"/>
                <w:szCs w:val="20"/>
                <w:lang w:val="en-US"/>
              </w:rPr>
              <w:t xml:space="preserve"> </w:t>
            </w:r>
            <w:r>
              <w:rPr>
                <w:i/>
                <w:sz w:val="20"/>
                <w:szCs w:val="20"/>
                <w:lang w:val="en-US"/>
              </w:rPr>
              <w:t>A relevant authority must, each year conduct a review of the effectiveness of the system of internal control and prepare an annual governance statement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766FE0" w:rsidRDefault="00514775" w:rsidP="00514775">
            <w:pPr>
              <w:rPr>
                <w:sz w:val="20"/>
                <w:szCs w:val="20"/>
                <w:lang w:val="en-US"/>
              </w:rPr>
            </w:pPr>
            <w:r w:rsidRPr="00E840BE">
              <w:rPr>
                <w:sz w:val="20"/>
                <w:szCs w:val="20"/>
                <w:lang w:val="en-US"/>
              </w:rPr>
              <w:t>Co-ordination of the annual review of governance against the new C</w:t>
            </w:r>
            <w:r>
              <w:rPr>
                <w:sz w:val="20"/>
                <w:szCs w:val="20"/>
                <w:lang w:val="en-US"/>
              </w:rPr>
              <w:t>IPFA</w:t>
            </w:r>
            <w:r w:rsidRPr="00E840BE">
              <w:rPr>
                <w:sz w:val="20"/>
                <w:szCs w:val="20"/>
                <w:lang w:val="en-US"/>
              </w:rPr>
              <w:t xml:space="preserve">/Solace Delivering Good Governance in Local Government </w:t>
            </w:r>
            <w:r>
              <w:rPr>
                <w:sz w:val="20"/>
                <w:szCs w:val="20"/>
                <w:lang w:val="en-US"/>
              </w:rPr>
              <w:t>F</w:t>
            </w:r>
            <w:r w:rsidRPr="00E840BE">
              <w:rPr>
                <w:sz w:val="20"/>
                <w:szCs w:val="20"/>
                <w:lang w:val="en-US"/>
              </w:rPr>
              <w:t>ramework 2016</w:t>
            </w:r>
            <w:r>
              <w:rPr>
                <w:sz w:val="20"/>
                <w:szCs w:val="20"/>
                <w:lang w:val="en-US"/>
              </w:rPr>
              <w:t>, including Management assurance,</w:t>
            </w:r>
            <w:r w:rsidRPr="00E840BE">
              <w:rPr>
                <w:sz w:val="20"/>
                <w:szCs w:val="20"/>
                <w:lang w:val="en-US"/>
              </w:rPr>
              <w:t xml:space="preserve"> plus drafting of the Annual Governance Statement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766FE0" w:rsidRDefault="00514775" w:rsidP="00514775">
            <w:pPr>
              <w:jc w:val="center"/>
              <w:rPr>
                <w:sz w:val="20"/>
                <w:szCs w:val="20"/>
                <w:lang w:val="en-US"/>
              </w:rPr>
            </w:pPr>
            <w:r>
              <w:rPr>
                <w:sz w:val="20"/>
                <w:szCs w:val="20"/>
                <w:lang w:val="en-US"/>
              </w:rPr>
              <w:t>30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766FE0" w:rsidRDefault="00514775" w:rsidP="00514775">
            <w:pPr>
              <w:jc w:val="center"/>
              <w:rPr>
                <w:sz w:val="20"/>
                <w:szCs w:val="20"/>
                <w:lang w:val="en-US"/>
              </w:rPr>
            </w:pPr>
            <w:r>
              <w:rPr>
                <w:sz w:val="20"/>
                <w:szCs w:val="20"/>
                <w:lang w:val="en-US"/>
              </w:rPr>
              <w:t>Q1/4</w:t>
            </w:r>
          </w:p>
        </w:tc>
      </w:tr>
      <w:tr w:rsidR="00BD4748" w:rsidRPr="00766FE0"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D4748" w:rsidRDefault="00BD4748" w:rsidP="00514775">
            <w:pPr>
              <w:rPr>
                <w:sz w:val="20"/>
                <w:szCs w:val="20"/>
              </w:rPr>
            </w:pPr>
            <w:r w:rsidRPr="00BD4748">
              <w:rPr>
                <w:sz w:val="20"/>
                <w:szCs w:val="20"/>
              </w:rPr>
              <w:t xml:space="preserve">Follow-up of minor governance gaps </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BD4748" w:rsidRDefault="00BD4748" w:rsidP="00514775">
            <w:pPr>
              <w:jc w:val="center"/>
              <w:rPr>
                <w:sz w:val="20"/>
                <w:szCs w:val="20"/>
              </w:rPr>
            </w:pPr>
            <w:r>
              <w:rPr>
                <w:sz w:val="20"/>
                <w:szCs w:val="20"/>
                <w:lang w:val="en-US"/>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BD4748" w:rsidRPr="003950C1" w:rsidRDefault="00BD4748" w:rsidP="00514775">
            <w:pPr>
              <w:rPr>
                <w:b/>
                <w:sz w:val="20"/>
                <w:szCs w:val="20"/>
                <w:lang w:val="en-US"/>
              </w:rPr>
            </w:pPr>
            <w:r w:rsidRPr="003950C1">
              <w:rPr>
                <w:b/>
                <w:sz w:val="20"/>
                <w:szCs w:val="20"/>
                <w:lang w:val="en-US"/>
              </w:rPr>
              <w:t>Requirement under the Accounts &amp; Audit Regulations 2015:</w:t>
            </w:r>
            <w:r>
              <w:rPr>
                <w:sz w:val="20"/>
                <w:szCs w:val="20"/>
                <w:lang w:val="en-US"/>
              </w:rPr>
              <w:t xml:space="preserve"> </w:t>
            </w:r>
            <w:r>
              <w:rPr>
                <w:i/>
                <w:sz w:val="20"/>
                <w:szCs w:val="20"/>
                <w:lang w:val="en-US"/>
              </w:rPr>
              <w:t>A relevant authority must, each year conduct a review of the effectiveness of the system of internal control and prepare an annual governance statement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Default="00BD4748" w:rsidP="00514775">
            <w:pPr>
              <w:rPr>
                <w:sz w:val="20"/>
                <w:szCs w:val="20"/>
                <w:lang w:val="en-US"/>
              </w:rPr>
            </w:pPr>
            <w:r w:rsidRPr="00BD4748">
              <w:rPr>
                <w:sz w:val="20"/>
                <w:szCs w:val="20"/>
                <w:lang w:val="en-US"/>
              </w:rPr>
              <w:t>A follow-up of action taken to close minor governance gaps identified as part of the 2019/20 annual governance review</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Default="00BD4748" w:rsidP="00514775">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Default="00BD4748" w:rsidP="00514775">
            <w:pPr>
              <w:jc w:val="center"/>
              <w:rPr>
                <w:sz w:val="20"/>
                <w:szCs w:val="20"/>
              </w:rPr>
            </w:pPr>
            <w:r>
              <w:rPr>
                <w:sz w:val="20"/>
                <w:szCs w:val="20"/>
              </w:rPr>
              <w:t>Q3/4</w:t>
            </w:r>
          </w:p>
        </w:tc>
      </w:tr>
      <w:tr w:rsidR="00514775" w:rsidRPr="00766FE0"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4775" w:rsidRDefault="00514775" w:rsidP="00514775">
            <w:pPr>
              <w:rPr>
                <w:sz w:val="20"/>
                <w:szCs w:val="20"/>
              </w:rPr>
            </w:pPr>
            <w:r>
              <w:rPr>
                <w:sz w:val="20"/>
                <w:szCs w:val="20"/>
              </w:rPr>
              <w:t xml:space="preserve">Risk </w:t>
            </w:r>
            <w:r w:rsidR="00BD4748">
              <w:rPr>
                <w:sz w:val="20"/>
                <w:szCs w:val="20"/>
              </w:rPr>
              <w:t>Registers</w:t>
            </w:r>
          </w:p>
          <w:p w:rsidR="00514775" w:rsidRDefault="00514775" w:rsidP="00514775">
            <w:pPr>
              <w:rPr>
                <w:sz w:val="20"/>
                <w:szCs w:val="20"/>
              </w:rPr>
            </w:pPr>
          </w:p>
          <w:p w:rsidR="00514775" w:rsidRDefault="00514775" w:rsidP="00514775">
            <w:pPr>
              <w:rPr>
                <w:sz w:val="20"/>
                <w:szCs w:val="20"/>
              </w:rPr>
            </w:pPr>
          </w:p>
          <w:p w:rsidR="00514775" w:rsidRDefault="00514775" w:rsidP="00514775">
            <w:pPr>
              <w:rPr>
                <w:sz w:val="20"/>
                <w:szCs w:val="20"/>
              </w:rPr>
            </w:pPr>
          </w:p>
          <w:p w:rsidR="00514775" w:rsidRDefault="00514775" w:rsidP="00514775">
            <w:pPr>
              <w:rPr>
                <w:sz w:val="20"/>
                <w:szCs w:val="20"/>
              </w:rPr>
            </w:pPr>
          </w:p>
          <w:p w:rsidR="00514775" w:rsidRPr="00766FE0" w:rsidRDefault="00514775" w:rsidP="00514775">
            <w:pPr>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514775" w:rsidRPr="00766FE0" w:rsidRDefault="00514775" w:rsidP="00514775">
            <w:pPr>
              <w:jc w:val="center"/>
              <w:rPr>
                <w:sz w:val="20"/>
                <w:szCs w:val="20"/>
              </w:rPr>
            </w:pPr>
            <w:r>
              <w:rPr>
                <w:sz w:val="20"/>
                <w:szCs w:val="20"/>
              </w:rPr>
              <w:lastRenderedPageBreak/>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514775" w:rsidRPr="00765B23" w:rsidRDefault="00514775" w:rsidP="00514775">
            <w:pPr>
              <w:rPr>
                <w:i/>
                <w:sz w:val="20"/>
                <w:szCs w:val="20"/>
                <w:lang w:val="en-US"/>
              </w:rPr>
            </w:pPr>
            <w:r w:rsidRPr="003950C1">
              <w:rPr>
                <w:b/>
                <w:sz w:val="20"/>
                <w:szCs w:val="20"/>
                <w:lang w:val="en-US"/>
              </w:rPr>
              <w:t>Requirement under the Accounts &amp; Audit Regulations 2015:</w:t>
            </w:r>
            <w:r>
              <w:rPr>
                <w:sz w:val="20"/>
                <w:szCs w:val="20"/>
                <w:lang w:val="en-US"/>
              </w:rPr>
              <w:t xml:space="preserve"> </w:t>
            </w:r>
            <w:r>
              <w:rPr>
                <w:i/>
                <w:sz w:val="20"/>
                <w:szCs w:val="20"/>
                <w:lang w:val="en-US"/>
              </w:rPr>
              <w:t xml:space="preserve">A relevant authority must ensure that it has a sound system of internal control which includes effective </w:t>
            </w:r>
            <w:r>
              <w:rPr>
                <w:i/>
                <w:sz w:val="20"/>
                <w:szCs w:val="20"/>
                <w:lang w:val="en-US"/>
              </w:rPr>
              <w:lastRenderedPageBreak/>
              <w:t>arrangements for the management of risk</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766FE0" w:rsidRDefault="00514775" w:rsidP="00514775">
            <w:pPr>
              <w:rPr>
                <w:sz w:val="20"/>
                <w:szCs w:val="20"/>
              </w:rPr>
            </w:pPr>
            <w:r>
              <w:rPr>
                <w:sz w:val="20"/>
                <w:szCs w:val="20"/>
                <w:lang w:val="en-US"/>
              </w:rPr>
              <w:lastRenderedPageBreak/>
              <w:t>Update of the Corporate Risk Register</w:t>
            </w:r>
            <w:r w:rsidR="00BD4748">
              <w:rPr>
                <w:sz w:val="20"/>
                <w:szCs w:val="20"/>
                <w:lang w:val="en-US"/>
              </w:rPr>
              <w:t xml:space="preserve"> and input assistance with Directorate and other Council risk registers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766FE0" w:rsidRDefault="00514775" w:rsidP="00514775">
            <w:pPr>
              <w:jc w:val="center"/>
              <w:rPr>
                <w:sz w:val="20"/>
                <w:szCs w:val="20"/>
              </w:rPr>
            </w:pPr>
            <w:r>
              <w:rPr>
                <w:sz w:val="20"/>
                <w:szCs w:val="20"/>
              </w:rPr>
              <w:t>65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514775" w:rsidRPr="00766FE0" w:rsidRDefault="00514775" w:rsidP="00514775">
            <w:pPr>
              <w:jc w:val="center"/>
              <w:rPr>
                <w:sz w:val="20"/>
                <w:szCs w:val="20"/>
              </w:rPr>
            </w:pPr>
            <w:r>
              <w:rPr>
                <w:sz w:val="20"/>
                <w:szCs w:val="20"/>
              </w:rPr>
              <w:t>Q1-4</w:t>
            </w:r>
          </w:p>
        </w:tc>
      </w:tr>
      <w:tr w:rsidR="00BD4748" w:rsidRPr="00766FE0"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D4748" w:rsidRPr="00766FE0" w:rsidRDefault="00BD4748" w:rsidP="00BD4748">
            <w:pPr>
              <w:rPr>
                <w:sz w:val="20"/>
                <w:szCs w:val="20"/>
              </w:rPr>
            </w:pPr>
            <w:r w:rsidRPr="00BD4748">
              <w:rPr>
                <w:sz w:val="20"/>
                <w:szCs w:val="20"/>
              </w:rPr>
              <w:t>Risk Management Strategy review</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BD4748" w:rsidRPr="00766FE0" w:rsidRDefault="00BD4748" w:rsidP="00BD4748">
            <w:pPr>
              <w:jc w:val="center"/>
              <w:rPr>
                <w:sz w:val="20"/>
                <w:szCs w:val="20"/>
              </w:rPr>
            </w:pPr>
            <w:r>
              <w:rPr>
                <w:sz w:val="20"/>
                <w:szCs w:val="20"/>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BD4748" w:rsidRPr="00765B23" w:rsidRDefault="00BD4748" w:rsidP="00BD4748">
            <w:pPr>
              <w:rPr>
                <w:i/>
                <w:sz w:val="20"/>
                <w:szCs w:val="20"/>
                <w:lang w:val="en-US"/>
              </w:rPr>
            </w:pPr>
            <w:r w:rsidRPr="003950C1">
              <w:rPr>
                <w:b/>
                <w:sz w:val="20"/>
                <w:szCs w:val="20"/>
                <w:lang w:val="en-US"/>
              </w:rPr>
              <w:t>Requirement under the Accounts &amp; Audit Regulations 2015:</w:t>
            </w:r>
            <w:r>
              <w:rPr>
                <w:sz w:val="20"/>
                <w:szCs w:val="20"/>
                <w:lang w:val="en-US"/>
              </w:rPr>
              <w:t xml:space="preserve"> </w:t>
            </w:r>
            <w:r>
              <w:rPr>
                <w:i/>
                <w:sz w:val="20"/>
                <w:szCs w:val="20"/>
                <w:lang w:val="en-US"/>
              </w:rPr>
              <w:t>A relevant authority must ensure that it has a sound system of internal control which includes effective arrangements for the management of risk</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Pr="00766FE0" w:rsidRDefault="00BD4748" w:rsidP="00BD4748">
            <w:pPr>
              <w:rPr>
                <w:sz w:val="20"/>
                <w:szCs w:val="20"/>
              </w:rPr>
            </w:pPr>
            <w:r w:rsidRPr="00BD4748">
              <w:rPr>
                <w:sz w:val="20"/>
                <w:szCs w:val="20"/>
              </w:rPr>
              <w:t>A review and update of the Council's Risk Management Strategy</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Default="00BD4748" w:rsidP="00BD4748">
            <w:pPr>
              <w:jc w:val="center"/>
              <w:rPr>
                <w:sz w:val="20"/>
                <w:szCs w:val="20"/>
              </w:rPr>
            </w:pPr>
            <w:r>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Default="00BD4748" w:rsidP="00BD4748">
            <w:pPr>
              <w:jc w:val="center"/>
              <w:rPr>
                <w:sz w:val="20"/>
                <w:szCs w:val="20"/>
              </w:rPr>
            </w:pPr>
            <w:r>
              <w:rPr>
                <w:sz w:val="20"/>
                <w:szCs w:val="20"/>
              </w:rPr>
              <w:t>Q3/4</w:t>
            </w:r>
          </w:p>
        </w:tc>
      </w:tr>
      <w:tr w:rsidR="00BD4748" w:rsidRPr="00766FE0"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D4748" w:rsidRPr="00766FE0" w:rsidRDefault="00BD4748" w:rsidP="00BD4748">
            <w:pPr>
              <w:rPr>
                <w:sz w:val="20"/>
                <w:szCs w:val="20"/>
              </w:rPr>
            </w:pPr>
            <w:r w:rsidRPr="00BD4748">
              <w:rPr>
                <w:sz w:val="20"/>
                <w:szCs w:val="20"/>
              </w:rPr>
              <w:t xml:space="preserve">Risk Management in </w:t>
            </w:r>
            <w:r w:rsidR="00A2575E">
              <w:rPr>
                <w:sz w:val="20"/>
                <w:szCs w:val="20"/>
              </w:rPr>
              <w:t>p</w:t>
            </w:r>
            <w:r w:rsidRPr="00BD4748">
              <w:rPr>
                <w:sz w:val="20"/>
                <w:szCs w:val="20"/>
              </w:rPr>
              <w:t>rojects</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BD4748" w:rsidRPr="00766FE0" w:rsidRDefault="00BD4748" w:rsidP="00BD4748">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BD4748" w:rsidRDefault="007A570B" w:rsidP="00BD4748">
            <w:pPr>
              <w:rPr>
                <w:sz w:val="20"/>
                <w:szCs w:val="20"/>
                <w:lang w:val="en-US"/>
              </w:rPr>
            </w:pPr>
            <w:r>
              <w:rPr>
                <w:sz w:val="20"/>
                <w:szCs w:val="20"/>
                <w:lang w:val="en-US"/>
              </w:rPr>
              <w:t>Links to the provision of effective arrangements for the management of risk</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Pr="00766FE0" w:rsidRDefault="00BD4748" w:rsidP="00BD4748">
            <w:pPr>
              <w:rPr>
                <w:sz w:val="20"/>
                <w:szCs w:val="20"/>
              </w:rPr>
            </w:pPr>
            <w:r w:rsidRPr="00BD4748">
              <w:rPr>
                <w:sz w:val="20"/>
                <w:szCs w:val="20"/>
              </w:rPr>
              <w:t>A review of the adequacy, application and effectiveness of risk management in a sample of projects across the Council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Default="00BD4748" w:rsidP="00BD4748">
            <w:pPr>
              <w:jc w:val="center"/>
              <w:rPr>
                <w:sz w:val="20"/>
                <w:szCs w:val="20"/>
              </w:rPr>
            </w:pPr>
            <w:r>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Default="00BD4748" w:rsidP="00BD4748">
            <w:pPr>
              <w:jc w:val="center"/>
              <w:rPr>
                <w:sz w:val="20"/>
                <w:szCs w:val="20"/>
              </w:rPr>
            </w:pPr>
            <w:r>
              <w:rPr>
                <w:sz w:val="20"/>
                <w:szCs w:val="20"/>
              </w:rPr>
              <w:t>Q</w:t>
            </w:r>
            <w:r w:rsidR="00A2575E">
              <w:rPr>
                <w:sz w:val="20"/>
                <w:szCs w:val="20"/>
              </w:rPr>
              <w:t>3</w:t>
            </w:r>
            <w:r>
              <w:rPr>
                <w:sz w:val="20"/>
                <w:szCs w:val="20"/>
              </w:rPr>
              <w:t>/4</w:t>
            </w:r>
          </w:p>
        </w:tc>
      </w:tr>
      <w:tr w:rsidR="00A2575E" w:rsidRPr="00766FE0"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2575E" w:rsidRPr="00766FE0" w:rsidRDefault="00A2575E" w:rsidP="00BD4748">
            <w:pPr>
              <w:rPr>
                <w:sz w:val="20"/>
                <w:szCs w:val="20"/>
              </w:rPr>
            </w:pPr>
            <w:r w:rsidRPr="00A2575E">
              <w:rPr>
                <w:sz w:val="20"/>
                <w:szCs w:val="20"/>
              </w:rPr>
              <w:t>Risk Management in Decision Making</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A2575E" w:rsidRPr="00766FE0" w:rsidRDefault="00A2575E" w:rsidP="00BD4748">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2575E" w:rsidRDefault="007A570B" w:rsidP="00BD4748">
            <w:pPr>
              <w:rPr>
                <w:sz w:val="20"/>
                <w:szCs w:val="20"/>
                <w:lang w:val="en-US"/>
              </w:rPr>
            </w:pPr>
            <w:r>
              <w:rPr>
                <w:sz w:val="20"/>
                <w:szCs w:val="20"/>
                <w:lang w:val="en-US"/>
              </w:rPr>
              <w:t>Links to the provision of effective arrangements for the management of risk</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2575E" w:rsidRPr="00766FE0" w:rsidRDefault="00A2575E" w:rsidP="00BD4748">
            <w:pPr>
              <w:rPr>
                <w:sz w:val="20"/>
                <w:szCs w:val="20"/>
              </w:rPr>
            </w:pPr>
            <w:r w:rsidRPr="00A2575E">
              <w:rPr>
                <w:sz w:val="20"/>
                <w:szCs w:val="20"/>
              </w:rPr>
              <w:t>A review of compliance with risk management requirements for Cabinet reports and an assessment of the adequacy of the risk articulations in helping to ensure that sound decisions are made.  This will be a real-time pro-active review, with clearance provided</w:t>
            </w:r>
            <w:r>
              <w:rPr>
                <w:sz w:val="20"/>
                <w:szCs w:val="20"/>
              </w:rPr>
              <w:t xml:space="preserve"> before reports are presented to Cabinet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575E" w:rsidRDefault="00A2575E" w:rsidP="00BD4748">
            <w:pPr>
              <w:jc w:val="center"/>
              <w:rPr>
                <w:sz w:val="20"/>
                <w:szCs w:val="20"/>
              </w:rPr>
            </w:pPr>
            <w:r>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2575E" w:rsidRDefault="00A2575E" w:rsidP="00BD4748">
            <w:pPr>
              <w:jc w:val="center"/>
              <w:rPr>
                <w:sz w:val="20"/>
                <w:szCs w:val="20"/>
              </w:rPr>
            </w:pPr>
            <w:r>
              <w:rPr>
                <w:sz w:val="20"/>
                <w:szCs w:val="20"/>
              </w:rPr>
              <w:t>Q3/4</w:t>
            </w:r>
          </w:p>
        </w:tc>
      </w:tr>
      <w:tr w:rsidR="00BD4748" w:rsidRPr="00766FE0"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D4748" w:rsidRDefault="00BD4748" w:rsidP="00BD4748">
            <w:pPr>
              <w:rPr>
                <w:sz w:val="20"/>
                <w:szCs w:val="20"/>
              </w:rPr>
            </w:pPr>
            <w:r w:rsidRPr="00766FE0">
              <w:rPr>
                <w:sz w:val="20"/>
                <w:szCs w:val="20"/>
              </w:rPr>
              <w:t xml:space="preserve">Information Governance </w:t>
            </w:r>
          </w:p>
          <w:p w:rsidR="00BD4748" w:rsidRDefault="00BD4748" w:rsidP="00BD4748">
            <w:pPr>
              <w:rPr>
                <w:sz w:val="20"/>
                <w:szCs w:val="20"/>
              </w:rPr>
            </w:pPr>
          </w:p>
          <w:p w:rsidR="00BD4748" w:rsidRDefault="00BD4748" w:rsidP="00BD4748">
            <w:pPr>
              <w:rPr>
                <w:sz w:val="20"/>
                <w:szCs w:val="20"/>
              </w:rPr>
            </w:pPr>
            <w:r>
              <w:rPr>
                <w:i/>
                <w:color w:val="0070C0"/>
                <w:sz w:val="20"/>
                <w:szCs w:val="20"/>
              </w:rPr>
              <w:t xml:space="preserve">                                                         </w:t>
            </w:r>
          </w:p>
          <w:p w:rsidR="00BD4748" w:rsidRPr="00766FE0" w:rsidRDefault="00BD4748" w:rsidP="00BD4748">
            <w:pPr>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BD4748" w:rsidRPr="00766FE0" w:rsidRDefault="00BD4748" w:rsidP="00BD4748">
            <w:pPr>
              <w:jc w:val="center"/>
              <w:rPr>
                <w:sz w:val="20"/>
                <w:szCs w:val="20"/>
              </w:rPr>
            </w:pPr>
            <w:r w:rsidRPr="00766FE0">
              <w:rPr>
                <w:sz w:val="20"/>
                <w:szCs w:val="20"/>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BD4748" w:rsidRPr="00766FE0" w:rsidRDefault="00BD4748" w:rsidP="00BD4748">
            <w:pPr>
              <w:rPr>
                <w:sz w:val="20"/>
                <w:szCs w:val="20"/>
                <w:lang w:val="en-US"/>
              </w:rPr>
            </w:pPr>
            <w:r>
              <w:rPr>
                <w:sz w:val="20"/>
                <w:szCs w:val="20"/>
                <w:lang w:val="en-US"/>
              </w:rPr>
              <w:t>Proactive approach t</w:t>
            </w:r>
            <w:r w:rsidRPr="00766FE0">
              <w:rPr>
                <w:sz w:val="20"/>
                <w:szCs w:val="20"/>
                <w:lang w:val="en-US"/>
              </w:rPr>
              <w:t>o ensure that the Council has effective polices &amp; management of information governance risks</w:t>
            </w:r>
            <w:r>
              <w:rPr>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Pr="00766FE0" w:rsidRDefault="00BD4748" w:rsidP="00BD4748">
            <w:pPr>
              <w:rPr>
                <w:sz w:val="20"/>
                <w:szCs w:val="20"/>
              </w:rPr>
            </w:pPr>
            <w:r w:rsidRPr="00766FE0">
              <w:rPr>
                <w:sz w:val="20"/>
                <w:szCs w:val="20"/>
              </w:rPr>
              <w:t xml:space="preserve">Quarterly </w:t>
            </w:r>
            <w:r>
              <w:rPr>
                <w:sz w:val="20"/>
                <w:szCs w:val="20"/>
              </w:rPr>
              <w:t xml:space="preserve">Board meetings plus </w:t>
            </w:r>
            <w:r w:rsidRPr="00766FE0">
              <w:rPr>
                <w:sz w:val="20"/>
                <w:szCs w:val="20"/>
              </w:rPr>
              <w:t xml:space="preserve">review of security breaches </w:t>
            </w:r>
            <w:r>
              <w:rPr>
                <w:sz w:val="20"/>
                <w:szCs w:val="20"/>
              </w:rPr>
              <w:t>and policies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Pr="00766FE0" w:rsidRDefault="00E26989" w:rsidP="00BD4748">
            <w:pPr>
              <w:jc w:val="center"/>
              <w:rPr>
                <w:sz w:val="20"/>
                <w:szCs w:val="20"/>
              </w:rPr>
            </w:pPr>
            <w:r>
              <w:rPr>
                <w:sz w:val="20"/>
                <w:szCs w:val="20"/>
              </w:rPr>
              <w:t>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Pr="00766FE0" w:rsidRDefault="00BD4748" w:rsidP="00BD4748">
            <w:pPr>
              <w:jc w:val="center"/>
              <w:rPr>
                <w:sz w:val="20"/>
                <w:szCs w:val="20"/>
              </w:rPr>
            </w:pPr>
            <w:r>
              <w:rPr>
                <w:sz w:val="20"/>
                <w:szCs w:val="20"/>
              </w:rPr>
              <w:t>Q1-4</w:t>
            </w:r>
          </w:p>
        </w:tc>
      </w:tr>
      <w:tr w:rsidR="00BD4748" w:rsidRPr="006B4ED5"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D4748" w:rsidRDefault="00BD4748" w:rsidP="00BD4748">
            <w:pPr>
              <w:tabs>
                <w:tab w:val="right" w:pos="3617"/>
              </w:tabs>
              <w:rPr>
                <w:sz w:val="20"/>
                <w:szCs w:val="20"/>
                <w:lang w:val="en-US"/>
              </w:rPr>
            </w:pPr>
            <w:r>
              <w:rPr>
                <w:sz w:val="20"/>
                <w:szCs w:val="20"/>
                <w:lang w:val="en-US"/>
              </w:rPr>
              <w:t>Social Value</w:t>
            </w:r>
          </w:p>
          <w:p w:rsidR="00BD4748" w:rsidRDefault="00BD4748" w:rsidP="00BD4748">
            <w:pPr>
              <w:tabs>
                <w:tab w:val="right" w:pos="3617"/>
              </w:tabs>
              <w:rPr>
                <w:sz w:val="20"/>
                <w:szCs w:val="20"/>
                <w:lang w:val="en-US"/>
              </w:rPr>
            </w:pPr>
          </w:p>
          <w:p w:rsidR="00BD4748" w:rsidRPr="00647F49" w:rsidRDefault="00BD4748" w:rsidP="00BD4748">
            <w:pPr>
              <w:tabs>
                <w:tab w:val="right" w:pos="3617"/>
              </w:tabs>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BD4748" w:rsidRDefault="00BD4748" w:rsidP="00BD4748">
            <w:pPr>
              <w:jc w:val="center"/>
              <w:rPr>
                <w:sz w:val="20"/>
                <w:szCs w:val="20"/>
                <w:lang w:val="en-US"/>
              </w:rPr>
            </w:pPr>
            <w:r>
              <w:rPr>
                <w:sz w:val="20"/>
                <w:szCs w:val="20"/>
                <w:lang w:val="en-US"/>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E26989" w:rsidRPr="00E26989" w:rsidRDefault="00E26989" w:rsidP="00BD4748">
            <w:pPr>
              <w:rPr>
                <w:bCs/>
                <w:sz w:val="20"/>
                <w:szCs w:val="20"/>
                <w:lang w:val="en-US"/>
              </w:rPr>
            </w:pPr>
            <w:r>
              <w:rPr>
                <w:bCs/>
                <w:sz w:val="20"/>
                <w:szCs w:val="20"/>
                <w:lang w:val="en-US"/>
              </w:rPr>
              <w:t>c</w:t>
            </w:r>
            <w:r w:rsidRPr="00E26989">
              <w:rPr>
                <w:bCs/>
                <w:sz w:val="20"/>
                <w:szCs w:val="20"/>
                <w:lang w:val="en-US"/>
              </w:rPr>
              <w:t>/f 2019/20</w:t>
            </w:r>
          </w:p>
          <w:p w:rsidR="00BD4748" w:rsidRPr="007A570B" w:rsidRDefault="00BD4748" w:rsidP="00BD4748">
            <w:pPr>
              <w:rPr>
                <w:bCs/>
                <w:sz w:val="20"/>
                <w:szCs w:val="20"/>
                <w:lang w:val="en-US"/>
              </w:rPr>
            </w:pPr>
            <w:r w:rsidRPr="00474AE3">
              <w:rPr>
                <w:b/>
                <w:sz w:val="20"/>
                <w:szCs w:val="20"/>
                <w:lang w:val="en-US"/>
              </w:rPr>
              <w:t>Links to Corporate Priori</w:t>
            </w:r>
            <w:r w:rsidRPr="007A570B">
              <w:rPr>
                <w:b/>
                <w:sz w:val="20"/>
                <w:szCs w:val="20"/>
                <w:lang w:val="en-US"/>
              </w:rPr>
              <w:t>ty:</w:t>
            </w:r>
            <w:r w:rsidRPr="00D50927">
              <w:rPr>
                <w:b/>
                <w:sz w:val="20"/>
                <w:szCs w:val="20"/>
                <w:highlight w:val="yellow"/>
                <w:lang w:val="en-US"/>
              </w:rPr>
              <w:t xml:space="preserve"> </w:t>
            </w:r>
            <w:r w:rsidR="007A570B">
              <w:rPr>
                <w:bCs/>
                <w:sz w:val="20"/>
                <w:szCs w:val="20"/>
                <w:lang w:val="en-US"/>
              </w:rPr>
              <w:t>Thriving economy</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Pr="006003E6" w:rsidRDefault="00BD4748" w:rsidP="00BD4748">
            <w:pPr>
              <w:rPr>
                <w:sz w:val="20"/>
                <w:szCs w:val="20"/>
                <w:lang w:val="en-US"/>
              </w:rPr>
            </w:pPr>
            <w:r>
              <w:rPr>
                <w:sz w:val="20"/>
                <w:szCs w:val="20"/>
                <w:lang w:val="en-US"/>
              </w:rPr>
              <w:t>To obtain assurance that social value is being delivered as per contract specifications across the Council and adequately monitored and reported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Pr="006003E6" w:rsidRDefault="00E26989" w:rsidP="00BD4748">
            <w:pPr>
              <w:jc w:val="center"/>
              <w:rPr>
                <w:sz w:val="20"/>
                <w:szCs w:val="20"/>
                <w:lang w:val="en-US"/>
              </w:rPr>
            </w:pPr>
            <w:r>
              <w:rPr>
                <w:sz w:val="20"/>
                <w:szCs w:val="20"/>
                <w:lang w:val="en-US"/>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Pr="006003E6" w:rsidRDefault="00BD4748" w:rsidP="00BD4748">
            <w:pPr>
              <w:jc w:val="center"/>
              <w:rPr>
                <w:sz w:val="20"/>
                <w:szCs w:val="20"/>
                <w:lang w:val="en-US"/>
              </w:rPr>
            </w:pPr>
            <w:r>
              <w:rPr>
                <w:sz w:val="20"/>
                <w:szCs w:val="20"/>
                <w:lang w:val="en-US"/>
              </w:rPr>
              <w:t>Q</w:t>
            </w:r>
            <w:r w:rsidR="00E26989">
              <w:rPr>
                <w:sz w:val="20"/>
                <w:szCs w:val="20"/>
                <w:lang w:val="en-US"/>
              </w:rPr>
              <w:t>2</w:t>
            </w:r>
          </w:p>
        </w:tc>
      </w:tr>
      <w:tr w:rsidR="00E26989" w:rsidRPr="006B4ED5"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E26989" w:rsidRDefault="00E26989" w:rsidP="00BD4748">
            <w:pPr>
              <w:tabs>
                <w:tab w:val="right" w:pos="3617"/>
              </w:tabs>
              <w:rPr>
                <w:sz w:val="20"/>
                <w:szCs w:val="20"/>
                <w:lang w:val="en-US"/>
              </w:rPr>
            </w:pPr>
            <w:r w:rsidRPr="00E26989">
              <w:rPr>
                <w:sz w:val="20"/>
                <w:szCs w:val="20"/>
                <w:lang w:val="en-US"/>
              </w:rPr>
              <w:t>Income Collection</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E26989" w:rsidRDefault="00E26989" w:rsidP="00BD4748">
            <w:pPr>
              <w:jc w:val="center"/>
              <w:rPr>
                <w:sz w:val="20"/>
                <w:szCs w:val="20"/>
                <w:lang w:val="en-US"/>
              </w:rPr>
            </w:pPr>
            <w:r>
              <w:rPr>
                <w:sz w:val="20"/>
                <w:szCs w:val="20"/>
                <w:lang w:val="en-US"/>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E26989" w:rsidRDefault="00E26989" w:rsidP="00BD4748">
            <w:pPr>
              <w:rPr>
                <w:bCs/>
                <w:sz w:val="20"/>
                <w:szCs w:val="20"/>
                <w:lang w:val="en-US"/>
              </w:rPr>
            </w:pPr>
            <w:r>
              <w:rPr>
                <w:bCs/>
                <w:sz w:val="20"/>
                <w:szCs w:val="20"/>
                <w:lang w:val="en-US"/>
              </w:rPr>
              <w:t>L</w:t>
            </w:r>
            <w:r w:rsidRPr="00E26989">
              <w:rPr>
                <w:bCs/>
                <w:sz w:val="20"/>
                <w:szCs w:val="20"/>
                <w:lang w:val="en-US"/>
              </w:rPr>
              <w:t>eading on from 2019/20 Debt Management Review</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E26989" w:rsidRDefault="00E26989" w:rsidP="00BD4748">
            <w:pPr>
              <w:rPr>
                <w:sz w:val="20"/>
                <w:szCs w:val="20"/>
                <w:lang w:val="en-US"/>
              </w:rPr>
            </w:pPr>
            <w:r w:rsidRPr="00E26989">
              <w:rPr>
                <w:sz w:val="20"/>
                <w:szCs w:val="20"/>
                <w:lang w:val="en-US"/>
              </w:rPr>
              <w:t>A review of the suitability and effectiveness of income collection methods across the Council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26989" w:rsidRDefault="00E26989" w:rsidP="00BD4748">
            <w:pPr>
              <w:jc w:val="center"/>
              <w:rPr>
                <w:sz w:val="20"/>
                <w:szCs w:val="20"/>
                <w:lang w:val="en-US"/>
              </w:rPr>
            </w:pPr>
            <w:r>
              <w:rPr>
                <w:sz w:val="20"/>
                <w:szCs w:val="20"/>
                <w:lang w:val="en-US"/>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E26989" w:rsidRDefault="00E26989" w:rsidP="00BD4748">
            <w:pPr>
              <w:jc w:val="center"/>
              <w:rPr>
                <w:sz w:val="20"/>
                <w:szCs w:val="20"/>
                <w:lang w:val="en-US"/>
              </w:rPr>
            </w:pPr>
            <w:r>
              <w:rPr>
                <w:sz w:val="20"/>
                <w:szCs w:val="20"/>
                <w:lang w:val="en-US"/>
              </w:rPr>
              <w:t>Q4</w:t>
            </w:r>
          </w:p>
        </w:tc>
      </w:tr>
    </w:tbl>
    <w:p w:rsidR="00E26989" w:rsidRDefault="00E26989">
      <w:r>
        <w:br w:type="page"/>
      </w: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BD4748" w:rsidRPr="0087561C" w:rsidTr="0087561C">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D4748" w:rsidRPr="0087561C" w:rsidRDefault="00BD4748" w:rsidP="00BD4748">
            <w:pPr>
              <w:jc w:val="center"/>
              <w:rPr>
                <w:b/>
                <w:sz w:val="20"/>
                <w:szCs w:val="20"/>
              </w:rPr>
            </w:pPr>
            <w:r>
              <w:rPr>
                <w:b/>
                <w:sz w:val="20"/>
                <w:szCs w:val="20"/>
              </w:rPr>
              <w:lastRenderedPageBreak/>
              <w:t>Resources Risk Based Reviews</w:t>
            </w:r>
          </w:p>
        </w:tc>
      </w:tr>
      <w:tr w:rsidR="00BD4748" w:rsidRPr="00435ACD"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D4748" w:rsidRPr="004A6D8F" w:rsidRDefault="00E26989" w:rsidP="00BD4748">
            <w:pPr>
              <w:rPr>
                <w:sz w:val="20"/>
                <w:szCs w:val="20"/>
              </w:rPr>
            </w:pPr>
            <w:proofErr w:type="spellStart"/>
            <w:r>
              <w:rPr>
                <w:sz w:val="20"/>
                <w:szCs w:val="20"/>
              </w:rPr>
              <w:t>Covid</w:t>
            </w:r>
            <w:proofErr w:type="spellEnd"/>
            <w:r>
              <w:rPr>
                <w:sz w:val="20"/>
                <w:szCs w:val="20"/>
              </w:rPr>
              <w:t xml:space="preserve"> -19 Grants</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BD4748" w:rsidRPr="004A6D8F" w:rsidRDefault="00E26989" w:rsidP="00BD4748">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BD4748" w:rsidRPr="004A6D8F" w:rsidRDefault="00B65962" w:rsidP="00BD4748">
            <w:pPr>
              <w:rPr>
                <w:sz w:val="20"/>
                <w:szCs w:val="20"/>
              </w:rPr>
            </w:pPr>
            <w:r>
              <w:rPr>
                <w:sz w:val="20"/>
                <w:szCs w:val="20"/>
              </w:rPr>
              <w:t xml:space="preserve">Government grants </w:t>
            </w:r>
            <w:r w:rsidR="004A4E5D" w:rsidRPr="0059335A">
              <w:rPr>
                <w:sz w:val="20"/>
                <w:szCs w:val="20"/>
              </w:rPr>
              <w:t xml:space="preserve">launched by the Department for Business, Energy and Industrial Strategy </w:t>
            </w:r>
            <w:r w:rsidR="004A4E5D">
              <w:rPr>
                <w:sz w:val="20"/>
                <w:szCs w:val="20"/>
              </w:rPr>
              <w:t xml:space="preserve">(BEIS) </w:t>
            </w:r>
            <w:r>
              <w:rPr>
                <w:sz w:val="20"/>
                <w:szCs w:val="20"/>
              </w:rPr>
              <w:t>e.g. Small Business Grant, Retail, Hospitality &amp; Leisure Grant, Nursery Discount Grant administered by the Council</w:t>
            </w:r>
            <w:r w:rsidR="004A4E5D">
              <w:rPr>
                <w:sz w:val="20"/>
                <w:szCs w:val="20"/>
              </w:rPr>
              <w:t>’</w:t>
            </w:r>
            <w:r>
              <w:rPr>
                <w:sz w:val="20"/>
                <w:szCs w:val="20"/>
              </w:rPr>
              <w:t>s Collection &amp; Benefits Service had to be issued quickly and without the usual full scope of checks and balances – part of the conditions of these grants is post assurance review</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Pr="004A6D8F" w:rsidRDefault="00E26989" w:rsidP="00BD4748">
            <w:pPr>
              <w:rPr>
                <w:sz w:val="20"/>
                <w:szCs w:val="20"/>
              </w:rPr>
            </w:pPr>
            <w:r>
              <w:rPr>
                <w:sz w:val="20"/>
                <w:szCs w:val="20"/>
              </w:rPr>
              <w:t>Post assurance review</w:t>
            </w:r>
            <w:r w:rsidR="00B65962">
              <w:rPr>
                <w:sz w:val="20"/>
                <w:szCs w:val="20"/>
              </w:rPr>
              <w:t xml:space="preserve"> conducted </w:t>
            </w:r>
            <w:r w:rsidR="00B65962" w:rsidRPr="0059335A">
              <w:rPr>
                <w:sz w:val="20"/>
                <w:szCs w:val="20"/>
                <w:lang w:val="en-US"/>
              </w:rPr>
              <w:t xml:space="preserve">jointly with </w:t>
            </w:r>
            <w:r w:rsidR="00B65962">
              <w:rPr>
                <w:sz w:val="20"/>
                <w:szCs w:val="20"/>
                <w:lang w:val="en-US"/>
              </w:rPr>
              <w:t>Corporate Anti-Fraud Team</w:t>
            </w:r>
            <w:r w:rsidR="004A4E5D">
              <w:rPr>
                <w:sz w:val="20"/>
                <w:szCs w:val="20"/>
                <w:lang w:val="en-US"/>
              </w:rPr>
              <w:t xml:space="preserve"> ensure that any </w:t>
            </w:r>
            <w:r w:rsidR="00B65962" w:rsidRPr="0059335A">
              <w:rPr>
                <w:sz w:val="20"/>
                <w:szCs w:val="20"/>
              </w:rPr>
              <w:t xml:space="preserve">suspected fraud </w:t>
            </w:r>
            <w:r w:rsidR="004A4E5D">
              <w:rPr>
                <w:sz w:val="20"/>
                <w:szCs w:val="20"/>
              </w:rPr>
              <w:t>identified can be</w:t>
            </w:r>
            <w:r w:rsidR="00B65962" w:rsidRPr="0059335A">
              <w:rPr>
                <w:sz w:val="20"/>
                <w:szCs w:val="20"/>
              </w:rPr>
              <w:t xml:space="preserve"> investigated </w:t>
            </w:r>
            <w:r w:rsidR="004A4E5D">
              <w:rPr>
                <w:sz w:val="20"/>
                <w:szCs w:val="20"/>
              </w:rPr>
              <w:t>quickly</w:t>
            </w:r>
            <w:r w:rsidR="00B65962">
              <w:rPr>
                <w:sz w:val="20"/>
                <w:szCs w:val="20"/>
              </w:rPr>
              <w:t xml:space="preserve"> and steps taken to recover any losses identified </w:t>
            </w:r>
            <w:r w:rsidR="00B65962" w:rsidRPr="0059335A">
              <w:rPr>
                <w:sz w:val="20"/>
                <w:szCs w:val="20"/>
              </w:rPr>
              <w:t xml:space="preserve">   </w:t>
            </w:r>
            <w:r w:rsidR="00B65962" w:rsidRPr="0059335A">
              <w:rPr>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Pr="004A6D8F" w:rsidRDefault="00E26989" w:rsidP="00BD4748">
            <w:pPr>
              <w:jc w:val="center"/>
              <w:rPr>
                <w:sz w:val="20"/>
                <w:szCs w:val="20"/>
              </w:rPr>
            </w:pPr>
            <w:r>
              <w:rPr>
                <w:sz w:val="20"/>
                <w:szCs w:val="20"/>
              </w:rPr>
              <w:t>60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BD4748" w:rsidRPr="004A6D8F" w:rsidRDefault="00E26989" w:rsidP="00BD4748">
            <w:pPr>
              <w:jc w:val="center"/>
              <w:rPr>
                <w:sz w:val="20"/>
                <w:szCs w:val="20"/>
              </w:rPr>
            </w:pPr>
            <w:r>
              <w:rPr>
                <w:sz w:val="20"/>
                <w:szCs w:val="20"/>
              </w:rPr>
              <w:t>Q3/Q4</w:t>
            </w:r>
          </w:p>
        </w:tc>
      </w:tr>
      <w:tr w:rsidR="0087561C" w:rsidRPr="00A709CF" w:rsidTr="0087561C">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7561C" w:rsidRPr="0087561C" w:rsidRDefault="0087561C" w:rsidP="0087561C">
            <w:pPr>
              <w:jc w:val="center"/>
              <w:rPr>
                <w:b/>
                <w:sz w:val="20"/>
                <w:szCs w:val="20"/>
              </w:rPr>
            </w:pPr>
            <w:r>
              <w:rPr>
                <w:b/>
                <w:sz w:val="20"/>
                <w:szCs w:val="20"/>
              </w:rPr>
              <w:t>Community Risk Based Reviews</w:t>
            </w:r>
          </w:p>
        </w:tc>
      </w:tr>
      <w:tr w:rsidR="00A01CB7" w:rsidRPr="00A709CF"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Pr="004A4E5D" w:rsidRDefault="004A4E5D" w:rsidP="009644E8">
            <w:pPr>
              <w:rPr>
                <w:iCs/>
                <w:sz w:val="20"/>
                <w:szCs w:val="20"/>
              </w:rPr>
            </w:pPr>
            <w:r w:rsidRPr="004A4E5D">
              <w:rPr>
                <w:iCs/>
                <w:sz w:val="20"/>
                <w:szCs w:val="20"/>
              </w:rPr>
              <w:t>Major Projects - Depot Redevelopment Additional Works</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Pr="00A709CF" w:rsidRDefault="004A4E5D" w:rsidP="00E45F42">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Default="004A4E5D" w:rsidP="00C95698">
            <w:pPr>
              <w:rPr>
                <w:sz w:val="20"/>
                <w:szCs w:val="20"/>
              </w:rPr>
            </w:pPr>
            <w:r>
              <w:rPr>
                <w:sz w:val="20"/>
                <w:szCs w:val="20"/>
              </w:rPr>
              <w:t xml:space="preserve">Following </w:t>
            </w:r>
            <w:proofErr w:type="gramStart"/>
            <w:r>
              <w:rPr>
                <w:sz w:val="20"/>
                <w:szCs w:val="20"/>
              </w:rPr>
              <w:t>an</w:t>
            </w:r>
            <w:proofErr w:type="gramEnd"/>
            <w:r>
              <w:rPr>
                <w:sz w:val="20"/>
                <w:szCs w:val="20"/>
              </w:rPr>
              <w:t xml:space="preserve"> projected overspend and the identification of a significant governance gap</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A709CF" w:rsidRDefault="004A4E5D" w:rsidP="0087561C">
            <w:pPr>
              <w:rPr>
                <w:sz w:val="20"/>
                <w:szCs w:val="20"/>
              </w:rPr>
            </w:pPr>
            <w:r w:rsidRPr="004A4E5D">
              <w:rPr>
                <w:sz w:val="20"/>
                <w:szCs w:val="20"/>
              </w:rPr>
              <w:t>A review of the governance issues of the projected overspend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A709CF" w:rsidRDefault="004A4E5D" w:rsidP="00A01CB7">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A709CF" w:rsidRDefault="004A4E5D" w:rsidP="00A01CB7">
            <w:pPr>
              <w:jc w:val="center"/>
              <w:rPr>
                <w:sz w:val="20"/>
                <w:szCs w:val="20"/>
              </w:rPr>
            </w:pPr>
            <w:r>
              <w:rPr>
                <w:sz w:val="20"/>
                <w:szCs w:val="20"/>
              </w:rPr>
              <w:t>Q2</w:t>
            </w:r>
          </w:p>
        </w:tc>
      </w:tr>
      <w:tr w:rsidR="00A01CB7" w:rsidRPr="00766FE0"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Default="00896E30" w:rsidP="00E45F42">
            <w:pPr>
              <w:rPr>
                <w:sz w:val="20"/>
                <w:szCs w:val="20"/>
                <w:lang w:val="en-US"/>
              </w:rPr>
            </w:pPr>
            <w:r>
              <w:rPr>
                <w:sz w:val="20"/>
                <w:szCs w:val="20"/>
                <w:lang w:val="en-US"/>
              </w:rPr>
              <w:t xml:space="preserve">Major Projects - </w:t>
            </w:r>
            <w:r w:rsidR="00A01CB7" w:rsidRPr="00E423A9">
              <w:rPr>
                <w:sz w:val="20"/>
                <w:szCs w:val="20"/>
                <w:lang w:val="en-US"/>
              </w:rPr>
              <w:t>Grange Farm</w:t>
            </w:r>
            <w:r w:rsidR="00A01CB7">
              <w:rPr>
                <w:sz w:val="20"/>
                <w:szCs w:val="20"/>
                <w:lang w:val="en-US"/>
              </w:rPr>
              <w:t>/Depot</w:t>
            </w:r>
          </w:p>
          <w:p w:rsidR="00A01CB7" w:rsidRDefault="00A01CB7" w:rsidP="00E45F42">
            <w:pPr>
              <w:rPr>
                <w:sz w:val="20"/>
                <w:szCs w:val="20"/>
                <w:lang w:val="en-US"/>
              </w:rPr>
            </w:pPr>
          </w:p>
          <w:p w:rsidR="00A01CB7" w:rsidRPr="00C95698" w:rsidRDefault="00A01CB7" w:rsidP="007B0EC4">
            <w:pPr>
              <w:rPr>
                <w:i/>
                <w:color w:val="FF0000"/>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Pr="00766FE0" w:rsidRDefault="00896E30"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4A4E5D" w:rsidRDefault="004A4E5D" w:rsidP="00995A24">
            <w:pPr>
              <w:rPr>
                <w:sz w:val="20"/>
                <w:szCs w:val="20"/>
                <w:lang w:val="en-US"/>
              </w:rPr>
            </w:pPr>
            <w:r>
              <w:rPr>
                <w:sz w:val="20"/>
                <w:szCs w:val="20"/>
                <w:lang w:val="en-US"/>
              </w:rPr>
              <w:t>c/f 2019/20</w:t>
            </w:r>
          </w:p>
          <w:p w:rsidR="00A01CB7" w:rsidRDefault="00A01CB7" w:rsidP="00995A24">
            <w:pPr>
              <w:rPr>
                <w:sz w:val="20"/>
                <w:szCs w:val="20"/>
                <w:lang w:val="en-US"/>
              </w:rPr>
            </w:pPr>
            <w:r>
              <w:rPr>
                <w:sz w:val="20"/>
                <w:szCs w:val="20"/>
                <w:lang w:val="en-US"/>
              </w:rPr>
              <w:t xml:space="preserve">To provide assurance on major projects being undertaken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766FE0" w:rsidRDefault="00A01CB7" w:rsidP="00E423A9">
            <w:pPr>
              <w:rPr>
                <w:sz w:val="20"/>
                <w:szCs w:val="20"/>
                <w:lang w:val="en-US"/>
              </w:rPr>
            </w:pPr>
            <w:r>
              <w:rPr>
                <w:sz w:val="20"/>
                <w:szCs w:val="20"/>
                <w:lang w:val="en-US"/>
              </w:rPr>
              <w:t>Project Management Review</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766FE0" w:rsidRDefault="00A01CB7" w:rsidP="00A01CB7">
            <w:pPr>
              <w:jc w:val="center"/>
              <w:rPr>
                <w:sz w:val="20"/>
                <w:szCs w:val="20"/>
                <w:lang w:val="en-US"/>
              </w:rPr>
            </w:pPr>
            <w:r>
              <w:rPr>
                <w:sz w:val="20"/>
                <w:szCs w:val="20"/>
                <w:lang w:val="en-US"/>
              </w:rPr>
              <w:t>30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766FE0" w:rsidRDefault="00A01CB7" w:rsidP="00A01CB7">
            <w:pPr>
              <w:jc w:val="center"/>
              <w:rPr>
                <w:sz w:val="20"/>
                <w:szCs w:val="20"/>
                <w:lang w:val="en-US"/>
              </w:rPr>
            </w:pPr>
            <w:r>
              <w:rPr>
                <w:sz w:val="20"/>
                <w:szCs w:val="20"/>
                <w:lang w:val="en-US"/>
              </w:rPr>
              <w:t>Q</w:t>
            </w:r>
            <w:r w:rsidR="00D42F0A">
              <w:rPr>
                <w:sz w:val="20"/>
                <w:szCs w:val="20"/>
                <w:lang w:val="en-US"/>
              </w:rPr>
              <w:t>2-</w:t>
            </w:r>
            <w:r>
              <w:rPr>
                <w:sz w:val="20"/>
                <w:szCs w:val="20"/>
                <w:lang w:val="en-US"/>
              </w:rPr>
              <w:t>3</w:t>
            </w:r>
          </w:p>
        </w:tc>
      </w:tr>
      <w:tr w:rsidR="00A01CB7" w:rsidRPr="006B4ED5"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A4E5D" w:rsidRDefault="004A4E5D" w:rsidP="004A4E5D">
            <w:pPr>
              <w:rPr>
                <w:color w:val="000000"/>
                <w:sz w:val="20"/>
                <w:szCs w:val="20"/>
                <w:lang w:eastAsia="en-GB"/>
              </w:rPr>
            </w:pPr>
            <w:r>
              <w:rPr>
                <w:color w:val="000000"/>
                <w:sz w:val="20"/>
                <w:szCs w:val="20"/>
              </w:rPr>
              <w:t>Bus Subsidy Grant</w:t>
            </w:r>
          </w:p>
          <w:p w:rsidR="00A01CB7" w:rsidRPr="004A4E5D" w:rsidRDefault="00A01CB7" w:rsidP="009644E8">
            <w:pPr>
              <w:rPr>
                <w:iCs/>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Default="004A4E5D" w:rsidP="009D128D">
            <w:pPr>
              <w:jc w:val="center"/>
              <w:rPr>
                <w:sz w:val="20"/>
                <w:szCs w:val="20"/>
                <w:lang w:val="en-US"/>
              </w:rPr>
            </w:pPr>
            <w:r>
              <w:rPr>
                <w:sz w:val="20"/>
                <w:szCs w:val="20"/>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Pr="0033742B" w:rsidRDefault="00D50927" w:rsidP="00995A24">
            <w:pPr>
              <w:rPr>
                <w:sz w:val="20"/>
                <w:szCs w:val="20"/>
                <w:lang w:val="en-US"/>
              </w:rPr>
            </w:pPr>
            <w:r>
              <w:rPr>
                <w:sz w:val="20"/>
                <w:szCs w:val="20"/>
                <w:lang w:val="en-US"/>
              </w:rPr>
              <w:t>Grant condition requirement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6003E6" w:rsidRDefault="00D50927" w:rsidP="009D128D">
            <w:pPr>
              <w:rPr>
                <w:sz w:val="20"/>
                <w:szCs w:val="20"/>
                <w:lang w:val="en-US"/>
              </w:rPr>
            </w:pPr>
            <w:r>
              <w:rPr>
                <w:sz w:val="20"/>
                <w:szCs w:val="20"/>
                <w:lang w:val="en-US"/>
              </w:rPr>
              <w:t>Annual HIA Certification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6003E6" w:rsidRDefault="00D50927" w:rsidP="00A01CB7">
            <w:pPr>
              <w:jc w:val="center"/>
              <w:rPr>
                <w:sz w:val="20"/>
                <w:szCs w:val="20"/>
                <w:lang w:val="en-US"/>
              </w:rPr>
            </w:pPr>
            <w:r>
              <w:rPr>
                <w:sz w:val="20"/>
                <w:szCs w:val="20"/>
                <w:lang w:val="en-US"/>
              </w:rPr>
              <w:t>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6003E6" w:rsidRDefault="00D50927" w:rsidP="00A01CB7">
            <w:pPr>
              <w:jc w:val="center"/>
              <w:rPr>
                <w:sz w:val="20"/>
                <w:szCs w:val="20"/>
                <w:lang w:val="en-US"/>
              </w:rPr>
            </w:pPr>
            <w:r>
              <w:rPr>
                <w:sz w:val="20"/>
                <w:szCs w:val="20"/>
                <w:lang w:val="en-US"/>
              </w:rPr>
              <w:t>Q2</w:t>
            </w:r>
          </w:p>
        </w:tc>
      </w:tr>
      <w:tr w:rsidR="00A01CB7" w:rsidRPr="00766FE0"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Default="00D50927" w:rsidP="009D128D">
            <w:pPr>
              <w:rPr>
                <w:sz w:val="20"/>
                <w:szCs w:val="20"/>
                <w:lang w:val="en-US"/>
              </w:rPr>
            </w:pPr>
            <w:r>
              <w:rPr>
                <w:sz w:val="20"/>
                <w:szCs w:val="20"/>
                <w:lang w:val="en-US"/>
              </w:rPr>
              <w:t xml:space="preserve">Empty Property Grant and </w:t>
            </w:r>
            <w:r w:rsidR="00A01CB7">
              <w:rPr>
                <w:sz w:val="20"/>
                <w:szCs w:val="20"/>
                <w:lang w:val="en-US"/>
              </w:rPr>
              <w:t xml:space="preserve">Property Acquisition </w:t>
            </w:r>
            <w:r>
              <w:rPr>
                <w:sz w:val="20"/>
                <w:szCs w:val="20"/>
                <w:lang w:val="en-US"/>
              </w:rPr>
              <w:t>Programme</w:t>
            </w:r>
          </w:p>
          <w:p w:rsidR="00A01CB7" w:rsidRPr="00C95698" w:rsidRDefault="00A01CB7" w:rsidP="009644E8">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Default="006B5CC4" w:rsidP="009D128D">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Pr="006D24D8" w:rsidRDefault="00A01CB7" w:rsidP="000A7DD3">
            <w:pPr>
              <w:rPr>
                <w:sz w:val="20"/>
                <w:szCs w:val="20"/>
                <w:lang w:val="en-US"/>
              </w:rPr>
            </w:pPr>
            <w:r w:rsidRPr="00474AE3">
              <w:rPr>
                <w:b/>
                <w:sz w:val="20"/>
                <w:szCs w:val="20"/>
                <w:lang w:val="en-US"/>
              </w:rPr>
              <w:t>Links to Corporate Priority:</w:t>
            </w:r>
            <w:r>
              <w:rPr>
                <w:b/>
                <w:sz w:val="20"/>
                <w:szCs w:val="20"/>
                <w:lang w:val="en-US"/>
              </w:rPr>
              <w:t xml:space="preserve"> </w:t>
            </w:r>
            <w:r w:rsidR="007A570B" w:rsidRPr="007A570B">
              <w:rPr>
                <w:bCs/>
                <w:sz w:val="20"/>
                <w:szCs w:val="20"/>
                <w:lang w:val="en-US"/>
              </w:rPr>
              <w:t>Building Homes and infrastructure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D50927" w:rsidP="006D24D8">
            <w:pPr>
              <w:rPr>
                <w:sz w:val="20"/>
                <w:szCs w:val="20"/>
                <w:lang w:val="en-US"/>
              </w:rPr>
            </w:pPr>
            <w:proofErr w:type="spellStart"/>
            <w:r w:rsidRPr="00D50927">
              <w:rPr>
                <w:sz w:val="20"/>
                <w:szCs w:val="20"/>
                <w:lang w:val="en-US"/>
              </w:rPr>
              <w:t>Vfm</w:t>
            </w:r>
            <w:proofErr w:type="spellEnd"/>
            <w:r w:rsidRPr="00D50927">
              <w:rPr>
                <w:sz w:val="20"/>
                <w:szCs w:val="20"/>
                <w:lang w:val="en-US"/>
              </w:rPr>
              <w:t xml:space="preserve"> reviews to support capital bids </w:t>
            </w:r>
            <w:r w:rsidR="00A01CB7">
              <w:rPr>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A01CB7" w:rsidP="00A01CB7">
            <w:pPr>
              <w:jc w:val="center"/>
              <w:rPr>
                <w:sz w:val="20"/>
                <w:szCs w:val="20"/>
                <w:lang w:val="en-US"/>
              </w:rPr>
            </w:pPr>
            <w:r>
              <w:rPr>
                <w:sz w:val="20"/>
                <w:szCs w:val="20"/>
                <w:lang w:val="en-US"/>
              </w:rPr>
              <w:t>1</w:t>
            </w:r>
            <w:r w:rsidR="00D50927">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A01CB7" w:rsidP="00A01CB7">
            <w:pPr>
              <w:jc w:val="center"/>
              <w:rPr>
                <w:sz w:val="20"/>
                <w:szCs w:val="20"/>
                <w:lang w:val="en-US"/>
              </w:rPr>
            </w:pPr>
            <w:r>
              <w:rPr>
                <w:sz w:val="20"/>
                <w:szCs w:val="20"/>
                <w:lang w:val="en-US"/>
              </w:rPr>
              <w:t>Q</w:t>
            </w:r>
            <w:r w:rsidR="00D50927">
              <w:rPr>
                <w:sz w:val="20"/>
                <w:szCs w:val="20"/>
                <w:lang w:val="en-US"/>
              </w:rPr>
              <w:t>3</w:t>
            </w:r>
          </w:p>
        </w:tc>
      </w:tr>
      <w:tr w:rsidR="00A01CB7" w:rsidRPr="00766FE0"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Pr="00D50927" w:rsidRDefault="00D50927" w:rsidP="009D128D">
            <w:pPr>
              <w:rPr>
                <w:iCs/>
                <w:sz w:val="20"/>
                <w:szCs w:val="20"/>
                <w:lang w:val="en-US"/>
              </w:rPr>
            </w:pPr>
            <w:r>
              <w:rPr>
                <w:iCs/>
                <w:sz w:val="20"/>
                <w:szCs w:val="20"/>
                <w:lang w:val="en-US"/>
              </w:rPr>
              <w:t>Discretionary Grants Fund</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Default="00D50927" w:rsidP="009D128D">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Pr="00474AE3" w:rsidRDefault="00D50927" w:rsidP="000A7DD3">
            <w:pPr>
              <w:rPr>
                <w:sz w:val="20"/>
                <w:szCs w:val="20"/>
                <w:lang w:val="en-US"/>
              </w:rPr>
            </w:pPr>
            <w:r>
              <w:rPr>
                <w:sz w:val="20"/>
                <w:szCs w:val="20"/>
              </w:rPr>
              <w:t xml:space="preserve">Government grant </w:t>
            </w:r>
            <w:r w:rsidRPr="0059335A">
              <w:rPr>
                <w:sz w:val="20"/>
                <w:szCs w:val="20"/>
              </w:rPr>
              <w:t xml:space="preserve">launched by the Department for Business, Energy and Industrial Strategy </w:t>
            </w:r>
            <w:r>
              <w:rPr>
                <w:sz w:val="20"/>
                <w:szCs w:val="20"/>
              </w:rPr>
              <w:t>(BEIS) administered by the Council’s Economic Development Team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D50927" w:rsidP="00E45F42">
            <w:pPr>
              <w:rPr>
                <w:sz w:val="20"/>
                <w:szCs w:val="20"/>
                <w:lang w:val="en-US"/>
              </w:rPr>
            </w:pPr>
            <w:r>
              <w:rPr>
                <w:sz w:val="20"/>
                <w:szCs w:val="20"/>
                <w:lang w:val="en-US"/>
              </w:rPr>
              <w:t xml:space="preserve">Post Assurance Review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D50927" w:rsidP="00A01CB7">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D50927" w:rsidP="00A01CB7">
            <w:pPr>
              <w:jc w:val="center"/>
              <w:rPr>
                <w:sz w:val="20"/>
                <w:szCs w:val="20"/>
                <w:lang w:val="en-US"/>
              </w:rPr>
            </w:pPr>
            <w:r>
              <w:rPr>
                <w:sz w:val="20"/>
                <w:szCs w:val="20"/>
                <w:lang w:val="en-US"/>
              </w:rPr>
              <w:t>Q3</w:t>
            </w:r>
          </w:p>
        </w:tc>
      </w:tr>
    </w:tbl>
    <w:p w:rsidR="009D128D" w:rsidRDefault="009D128D">
      <w:r>
        <w:br w:type="page"/>
      </w: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A11037" w:rsidRPr="006518B7" w:rsidTr="00A11037">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11037" w:rsidRPr="00A11037" w:rsidRDefault="00A11037" w:rsidP="00A11037">
            <w:pPr>
              <w:jc w:val="center"/>
              <w:rPr>
                <w:b/>
                <w:sz w:val="20"/>
                <w:szCs w:val="20"/>
                <w:lang w:val="en-US"/>
              </w:rPr>
            </w:pPr>
            <w:r>
              <w:rPr>
                <w:b/>
                <w:sz w:val="20"/>
                <w:szCs w:val="20"/>
                <w:lang w:val="en-US"/>
              </w:rPr>
              <w:lastRenderedPageBreak/>
              <w:t>People Risk Based Reviews</w:t>
            </w:r>
          </w:p>
        </w:tc>
      </w:tr>
      <w:tr w:rsidR="001805F9" w:rsidRPr="001805F9"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sidRPr="006518B7">
              <w:rPr>
                <w:sz w:val="20"/>
                <w:szCs w:val="20"/>
                <w:lang w:val="en-US"/>
              </w:rPr>
              <w:t>Schools</w:t>
            </w:r>
          </w:p>
          <w:p w:rsidR="001805F9" w:rsidRDefault="001805F9" w:rsidP="00E45F42">
            <w:pPr>
              <w:rPr>
                <w:sz w:val="20"/>
                <w:szCs w:val="20"/>
                <w:lang w:val="en-US"/>
              </w:rPr>
            </w:pPr>
          </w:p>
          <w:p w:rsidR="001805F9" w:rsidRDefault="001805F9" w:rsidP="00E45F42">
            <w:pPr>
              <w:rPr>
                <w:sz w:val="20"/>
                <w:szCs w:val="20"/>
                <w:lang w:val="en-US"/>
              </w:rPr>
            </w:pPr>
          </w:p>
          <w:p w:rsidR="001805F9" w:rsidRDefault="001805F9" w:rsidP="00E45F42">
            <w:pPr>
              <w:rPr>
                <w:sz w:val="20"/>
                <w:szCs w:val="20"/>
                <w:lang w:val="en-US"/>
              </w:rPr>
            </w:pPr>
          </w:p>
          <w:p w:rsidR="001805F9" w:rsidRDefault="001805F9" w:rsidP="00E45F42">
            <w:pPr>
              <w:rPr>
                <w:sz w:val="20"/>
                <w:szCs w:val="20"/>
                <w:lang w:val="en-US"/>
              </w:rPr>
            </w:pPr>
          </w:p>
          <w:p w:rsidR="001805F9" w:rsidRPr="007B0EC4" w:rsidRDefault="001805F9" w:rsidP="007B0EC4">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Pr="006518B7" w:rsidRDefault="001805F9"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tcPr>
          <w:p w:rsidR="007A570B" w:rsidRDefault="001805F9" w:rsidP="007A570B">
            <w:pPr>
              <w:rPr>
                <w:sz w:val="20"/>
                <w:szCs w:val="20"/>
                <w:lang w:val="en-US"/>
              </w:rPr>
            </w:pPr>
            <w:r w:rsidRPr="00474AE3">
              <w:rPr>
                <w:b/>
                <w:sz w:val="20"/>
                <w:szCs w:val="20"/>
                <w:lang w:val="en-US"/>
              </w:rPr>
              <w:t>Links to Corporate Priority:</w:t>
            </w:r>
            <w:r>
              <w:rPr>
                <w:sz w:val="20"/>
                <w:szCs w:val="20"/>
                <w:lang w:val="en-US"/>
              </w:rPr>
              <w:t xml:space="preserve"> </w:t>
            </w:r>
            <w:r w:rsidR="007A570B">
              <w:rPr>
                <w:sz w:val="20"/>
                <w:szCs w:val="20"/>
                <w:lang w:val="en-US"/>
              </w:rPr>
              <w:t>Sustaining quality education and training</w:t>
            </w:r>
          </w:p>
          <w:p w:rsidR="007A570B" w:rsidRDefault="007A570B" w:rsidP="007A570B">
            <w:pPr>
              <w:rPr>
                <w:sz w:val="20"/>
                <w:szCs w:val="20"/>
                <w:lang w:val="en-US"/>
              </w:rPr>
            </w:pPr>
          </w:p>
          <w:p w:rsidR="001805F9" w:rsidRDefault="001805F9" w:rsidP="007A570B">
            <w:pPr>
              <w:rPr>
                <w:sz w:val="20"/>
                <w:szCs w:val="20"/>
                <w:lang w:val="en-US"/>
              </w:rPr>
            </w:pPr>
            <w:r>
              <w:rPr>
                <w:sz w:val="20"/>
                <w:szCs w:val="20"/>
                <w:lang w:val="en-US"/>
              </w:rPr>
              <w:t>The Council has 34 maintained schools with delegated budgets most of which are in excess of £1m however schools are facing ever increasing financial pressures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Pr="002B2BA3" w:rsidRDefault="001805F9" w:rsidP="004E0152">
            <w:pPr>
              <w:rPr>
                <w:b/>
                <w:sz w:val="20"/>
                <w:szCs w:val="20"/>
                <w:lang w:val="en-US"/>
              </w:rPr>
            </w:pPr>
            <w:r>
              <w:rPr>
                <w:sz w:val="20"/>
                <w:szCs w:val="20"/>
                <w:lang w:val="en-US"/>
              </w:rPr>
              <w:t xml:space="preserve">Reviews to be undertaken to provide assurance on </w:t>
            </w:r>
            <w:r w:rsidRPr="00AA0F69">
              <w:rPr>
                <w:sz w:val="20"/>
                <w:szCs w:val="20"/>
                <w:lang w:val="en-US"/>
              </w:rPr>
              <w:t>Budget Management</w:t>
            </w:r>
            <w:r>
              <w:rPr>
                <w:sz w:val="20"/>
                <w:szCs w:val="20"/>
                <w:lang w:val="en-US"/>
              </w:rPr>
              <w:t xml:space="preserve"> </w:t>
            </w:r>
            <w:proofErr w:type="gramStart"/>
            <w:r>
              <w:rPr>
                <w:sz w:val="20"/>
                <w:szCs w:val="20"/>
                <w:lang w:val="en-US"/>
              </w:rPr>
              <w:t xml:space="preserve">or </w:t>
            </w:r>
            <w:r w:rsidRPr="00AA0F69">
              <w:rPr>
                <w:sz w:val="20"/>
                <w:szCs w:val="20"/>
                <w:lang w:val="en-US"/>
              </w:rPr>
              <w:t xml:space="preserve"> Governance</w:t>
            </w:r>
            <w:proofErr w:type="gramEnd"/>
            <w:r w:rsidRPr="00AA0F69">
              <w:rPr>
                <w:sz w:val="20"/>
                <w:szCs w:val="20"/>
                <w:lang w:val="en-US"/>
              </w:rPr>
              <w:t xml:space="preserve"> &amp; Financial Control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Pr="001805F9" w:rsidRDefault="007F4B40" w:rsidP="001805F9">
            <w:pPr>
              <w:jc w:val="center"/>
              <w:rPr>
                <w:sz w:val="20"/>
                <w:szCs w:val="20"/>
                <w:lang w:val="en-US"/>
              </w:rPr>
            </w:pPr>
            <w:r>
              <w:rPr>
                <w:sz w:val="20"/>
                <w:szCs w:val="20"/>
                <w:lang w:val="en-US"/>
              </w:rPr>
              <w:t>7</w:t>
            </w:r>
            <w:r w:rsidR="00D50927">
              <w:rPr>
                <w:sz w:val="20"/>
                <w:szCs w:val="20"/>
                <w:lang w:val="en-US"/>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Pr="001805F9" w:rsidRDefault="001805F9" w:rsidP="001805F9">
            <w:pPr>
              <w:jc w:val="center"/>
              <w:rPr>
                <w:sz w:val="20"/>
                <w:szCs w:val="20"/>
                <w:lang w:val="en-US"/>
              </w:rPr>
            </w:pPr>
            <w:r w:rsidRPr="001805F9">
              <w:rPr>
                <w:sz w:val="20"/>
                <w:szCs w:val="20"/>
                <w:lang w:val="en-US"/>
              </w:rPr>
              <w:t>Q</w:t>
            </w:r>
            <w:r w:rsidR="00D50927">
              <w:rPr>
                <w:sz w:val="20"/>
                <w:szCs w:val="20"/>
                <w:lang w:val="en-US"/>
              </w:rPr>
              <w:t>3/4</w:t>
            </w:r>
          </w:p>
        </w:tc>
      </w:tr>
      <w:tr w:rsidR="001805F9" w:rsidRPr="006518B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br w:type="page"/>
            </w:r>
            <w:r>
              <w:rPr>
                <w:sz w:val="20"/>
                <w:szCs w:val="20"/>
                <w:lang w:val="en-US"/>
              </w:rPr>
              <w:t xml:space="preserve">Together with Families </w:t>
            </w:r>
            <w:r w:rsidRPr="007B0EC4">
              <w:rPr>
                <w:sz w:val="20"/>
                <w:szCs w:val="20"/>
              </w:rPr>
              <w:t>Programme</w:t>
            </w:r>
            <w:r>
              <w:rPr>
                <w:sz w:val="20"/>
                <w:szCs w:val="20"/>
                <w:lang w:val="en-US"/>
              </w:rPr>
              <w:t xml:space="preserve"> (</w:t>
            </w:r>
            <w:r w:rsidRPr="006518B7">
              <w:rPr>
                <w:sz w:val="20"/>
                <w:szCs w:val="20"/>
                <w:lang w:val="en-US"/>
              </w:rPr>
              <w:t>Troubled Families Grant</w:t>
            </w:r>
            <w:r>
              <w:rPr>
                <w:sz w:val="20"/>
                <w:szCs w:val="20"/>
                <w:lang w:val="en-US"/>
              </w:rPr>
              <w:t>)</w:t>
            </w:r>
          </w:p>
          <w:p w:rsidR="001805F9" w:rsidRDefault="001805F9" w:rsidP="00E45F42">
            <w:pPr>
              <w:rPr>
                <w:sz w:val="20"/>
                <w:szCs w:val="20"/>
                <w:lang w:val="en-US"/>
              </w:rPr>
            </w:pPr>
          </w:p>
          <w:p w:rsidR="001805F9" w:rsidRDefault="001805F9" w:rsidP="00E45F42">
            <w:pPr>
              <w:rPr>
                <w:sz w:val="20"/>
                <w:szCs w:val="20"/>
                <w:lang w:val="en-US"/>
              </w:rPr>
            </w:pPr>
          </w:p>
          <w:p w:rsidR="001805F9" w:rsidRDefault="001805F9" w:rsidP="00E45F42">
            <w:pPr>
              <w:rPr>
                <w:sz w:val="20"/>
                <w:szCs w:val="20"/>
                <w:lang w:val="en-US"/>
              </w:rPr>
            </w:pPr>
          </w:p>
          <w:p w:rsidR="001805F9" w:rsidRPr="006518B7"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Pr="006518B7" w:rsidRDefault="001805F9" w:rsidP="004E0152">
            <w:pPr>
              <w:tabs>
                <w:tab w:val="left" w:pos="405"/>
                <w:tab w:val="center" w:pos="656"/>
              </w:tabs>
              <w:jc w:val="center"/>
              <w:rPr>
                <w:sz w:val="20"/>
                <w:szCs w:val="20"/>
                <w:lang w:val="en-US"/>
              </w:rPr>
            </w:pPr>
            <w:r>
              <w:rPr>
                <w:sz w:val="20"/>
                <w:szCs w:val="20"/>
                <w:lang w:val="en-US"/>
              </w:rPr>
              <w:t>Grant Requirement</w:t>
            </w:r>
          </w:p>
        </w:tc>
        <w:tc>
          <w:tcPr>
            <w:tcW w:w="3402" w:type="dxa"/>
            <w:tcBorders>
              <w:top w:val="single" w:sz="4" w:space="0" w:color="auto"/>
              <w:left w:val="nil"/>
              <w:bottom w:val="single" w:sz="4" w:space="0" w:color="auto"/>
              <w:right w:val="single" w:sz="4" w:space="0" w:color="auto"/>
            </w:tcBorders>
          </w:tcPr>
          <w:p w:rsidR="001805F9" w:rsidRPr="004E0152" w:rsidRDefault="001805F9" w:rsidP="004E0152">
            <w:pPr>
              <w:rPr>
                <w:sz w:val="20"/>
                <w:szCs w:val="20"/>
                <w:lang w:val="en-US"/>
              </w:rPr>
            </w:pPr>
            <w:r w:rsidRPr="00474AE3">
              <w:rPr>
                <w:b/>
                <w:sz w:val="20"/>
                <w:szCs w:val="20"/>
                <w:lang w:val="en-US"/>
              </w:rPr>
              <w:t>Links to Corporate Priority</w:t>
            </w:r>
            <w:r w:rsidRPr="007A570B">
              <w:rPr>
                <w:b/>
                <w:sz w:val="20"/>
                <w:szCs w:val="20"/>
                <w:lang w:val="en-US"/>
              </w:rPr>
              <w:t>:</w:t>
            </w:r>
            <w:r w:rsidRPr="007A570B">
              <w:rPr>
                <w:sz w:val="20"/>
                <w:szCs w:val="20"/>
                <w:lang w:val="en-US"/>
              </w:rPr>
              <w:t xml:space="preserve"> </w:t>
            </w:r>
            <w:r w:rsidRPr="007A570B">
              <w:rPr>
                <w:i/>
                <w:sz w:val="20"/>
                <w:szCs w:val="20"/>
                <w:lang w:val="en-US"/>
              </w:rPr>
              <w:t xml:space="preserve"> </w:t>
            </w:r>
            <w:r w:rsidR="007A570B">
              <w:rPr>
                <w:sz w:val="20"/>
                <w:szCs w:val="20"/>
                <w:lang w:val="en-US"/>
              </w:rPr>
              <w:t xml:space="preserve">Tackling poverty and inequality </w:t>
            </w:r>
            <w:proofErr w:type="gramStart"/>
            <w:r w:rsidR="007A570B">
              <w:rPr>
                <w:sz w:val="20"/>
                <w:szCs w:val="20"/>
                <w:lang w:val="en-US"/>
              </w:rPr>
              <w:t xml:space="preserve">- </w:t>
            </w:r>
            <w:r w:rsidRPr="007A570B">
              <w:rPr>
                <w:sz w:val="20"/>
                <w:szCs w:val="20"/>
                <w:lang w:val="en-US"/>
              </w:rPr>
              <w:t xml:space="preserve"> testing</w:t>
            </w:r>
            <w:proofErr w:type="gramEnd"/>
            <w:r w:rsidRPr="007A570B">
              <w:rPr>
                <w:sz w:val="20"/>
                <w:szCs w:val="20"/>
                <w:lang w:val="en-US"/>
              </w:rPr>
              <w:t xml:space="preserve"> by internal audit is a grant condition</w:t>
            </w:r>
            <w:r>
              <w:rPr>
                <w:sz w:val="20"/>
                <w:szCs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Pr="004E0152" w:rsidRDefault="001805F9" w:rsidP="004E0152">
            <w:pPr>
              <w:rPr>
                <w:sz w:val="20"/>
                <w:szCs w:val="20"/>
                <w:lang w:val="en-US"/>
              </w:rPr>
            </w:pPr>
            <w:r>
              <w:rPr>
                <w:sz w:val="20"/>
                <w:szCs w:val="20"/>
                <w:lang w:val="en-US"/>
              </w:rPr>
              <w:t>Sample testing of claim prior to g</w:t>
            </w:r>
            <w:r w:rsidRPr="006518B7">
              <w:rPr>
                <w:sz w:val="20"/>
                <w:szCs w:val="20"/>
                <w:lang w:val="en-US"/>
              </w:rPr>
              <w:t xml:space="preserve">rant </w:t>
            </w:r>
            <w:r>
              <w:rPr>
                <w:sz w:val="20"/>
                <w:szCs w:val="20"/>
                <w:lang w:val="en-US"/>
              </w:rPr>
              <w:t>submission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Pr="004E0152" w:rsidRDefault="001805F9" w:rsidP="001805F9">
            <w:pPr>
              <w:jc w:val="center"/>
              <w:rPr>
                <w:sz w:val="20"/>
                <w:szCs w:val="20"/>
                <w:lang w:val="en-US"/>
              </w:rPr>
            </w:pPr>
            <w:r>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Pr="004E0152" w:rsidRDefault="001805F9" w:rsidP="001805F9">
            <w:pPr>
              <w:jc w:val="center"/>
              <w:rPr>
                <w:sz w:val="20"/>
                <w:szCs w:val="20"/>
                <w:lang w:val="en-US"/>
              </w:rPr>
            </w:pPr>
            <w:r>
              <w:rPr>
                <w:sz w:val="20"/>
                <w:szCs w:val="20"/>
                <w:lang w:val="en-US"/>
              </w:rPr>
              <w:t>Q1-4</w:t>
            </w:r>
          </w:p>
        </w:tc>
      </w:tr>
      <w:tr w:rsidR="001805F9" w:rsidRPr="006B4ED5"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D50927" w:rsidP="00E45F42">
            <w:pPr>
              <w:rPr>
                <w:sz w:val="20"/>
                <w:szCs w:val="20"/>
                <w:lang w:val="en-US"/>
              </w:rPr>
            </w:pPr>
            <w:r>
              <w:rPr>
                <w:sz w:val="20"/>
                <w:szCs w:val="20"/>
                <w:lang w:val="en-US"/>
              </w:rPr>
              <w:t>Test &amp; Trace Grant</w:t>
            </w:r>
          </w:p>
        </w:tc>
        <w:tc>
          <w:tcPr>
            <w:tcW w:w="1417" w:type="dxa"/>
            <w:tcBorders>
              <w:top w:val="single" w:sz="4" w:space="0" w:color="auto"/>
              <w:left w:val="nil"/>
              <w:bottom w:val="single" w:sz="4" w:space="0" w:color="auto"/>
              <w:right w:val="single" w:sz="4" w:space="0" w:color="auto"/>
            </w:tcBorders>
            <w:shd w:val="clear" w:color="auto" w:fill="auto"/>
          </w:tcPr>
          <w:p w:rsidR="001805F9" w:rsidRDefault="00D50927" w:rsidP="00E45F42">
            <w:pPr>
              <w:jc w:val="center"/>
              <w:rPr>
                <w:sz w:val="20"/>
                <w:szCs w:val="20"/>
                <w:lang w:val="en-US"/>
              </w:rPr>
            </w:pPr>
            <w:r>
              <w:rPr>
                <w:sz w:val="20"/>
                <w:szCs w:val="20"/>
                <w:lang w:val="en-US"/>
              </w:rPr>
              <w:t>Grant Requirement</w:t>
            </w:r>
          </w:p>
        </w:tc>
        <w:tc>
          <w:tcPr>
            <w:tcW w:w="3402" w:type="dxa"/>
            <w:tcBorders>
              <w:top w:val="single" w:sz="4" w:space="0" w:color="auto"/>
              <w:left w:val="nil"/>
              <w:bottom w:val="single" w:sz="4" w:space="0" w:color="auto"/>
              <w:right w:val="single" w:sz="4" w:space="0" w:color="auto"/>
            </w:tcBorders>
          </w:tcPr>
          <w:p w:rsidR="001805F9" w:rsidRPr="0033742B" w:rsidRDefault="00D50927" w:rsidP="00474AE3">
            <w:pPr>
              <w:rPr>
                <w:sz w:val="20"/>
                <w:szCs w:val="20"/>
                <w:lang w:val="en-US"/>
              </w:rPr>
            </w:pPr>
            <w:r>
              <w:rPr>
                <w:sz w:val="20"/>
                <w:szCs w:val="20"/>
                <w:lang w:val="en-US"/>
              </w:rPr>
              <w:t xml:space="preserve">Part of the Suite of </w:t>
            </w:r>
            <w:r w:rsidR="00F358E3">
              <w:rPr>
                <w:sz w:val="20"/>
                <w:szCs w:val="20"/>
                <w:lang w:val="en-US"/>
              </w:rPr>
              <w:t xml:space="preserve">government grants for </w:t>
            </w:r>
            <w:proofErr w:type="spellStart"/>
            <w:r w:rsidR="00F358E3">
              <w:rPr>
                <w:sz w:val="20"/>
                <w:szCs w:val="20"/>
                <w:lang w:val="en-US"/>
              </w:rPr>
              <w:t>Covid</w:t>
            </w:r>
            <w:proofErr w:type="spellEnd"/>
            <w:r w:rsidR="00F358E3">
              <w:rPr>
                <w:sz w:val="20"/>
                <w:szCs w:val="20"/>
                <w:lang w:val="en-US"/>
              </w:rPr>
              <w:t xml:space="preserve"> 19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Pr="005F43CF" w:rsidRDefault="00D50927" w:rsidP="00E45F42">
            <w:pPr>
              <w:rPr>
                <w:sz w:val="20"/>
                <w:szCs w:val="20"/>
                <w:lang w:val="en-US"/>
              </w:rPr>
            </w:pPr>
            <w:r>
              <w:rPr>
                <w:sz w:val="20"/>
                <w:szCs w:val="20"/>
                <w:lang w:val="en-US"/>
              </w:rPr>
              <w:t>HIA Certification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Pr="005F43CF" w:rsidRDefault="00D50927" w:rsidP="001805F9">
            <w:pPr>
              <w:jc w:val="center"/>
              <w:rPr>
                <w:sz w:val="20"/>
                <w:szCs w:val="20"/>
                <w:lang w:val="en-US"/>
              </w:rPr>
            </w:pPr>
            <w:r>
              <w:rPr>
                <w:sz w:val="20"/>
                <w:szCs w:val="20"/>
                <w:lang w:val="en-US"/>
              </w:rPr>
              <w:t>2</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Pr="005F43CF" w:rsidRDefault="00D50927" w:rsidP="001805F9">
            <w:pPr>
              <w:jc w:val="center"/>
              <w:rPr>
                <w:sz w:val="20"/>
                <w:szCs w:val="20"/>
                <w:lang w:val="en-US"/>
              </w:rPr>
            </w:pPr>
            <w:r>
              <w:rPr>
                <w:sz w:val="20"/>
                <w:szCs w:val="20"/>
                <w:lang w:val="en-US"/>
              </w:rPr>
              <w:t>Q4</w:t>
            </w:r>
          </w:p>
        </w:tc>
      </w:tr>
      <w:tr w:rsidR="00A11037" w:rsidRPr="000E1D15" w:rsidTr="00A11037">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11037" w:rsidRPr="00A11037" w:rsidRDefault="00A11037" w:rsidP="00A11037">
            <w:pPr>
              <w:jc w:val="center"/>
              <w:rPr>
                <w:b/>
                <w:sz w:val="20"/>
                <w:szCs w:val="20"/>
                <w:lang w:val="en-US"/>
              </w:rPr>
            </w:pPr>
            <w:r>
              <w:rPr>
                <w:b/>
                <w:sz w:val="20"/>
                <w:szCs w:val="20"/>
                <w:lang w:val="en-US"/>
              </w:rPr>
              <w:t>Support, Advice &amp; Follow-up</w:t>
            </w:r>
          </w:p>
        </w:tc>
      </w:tr>
      <w:tr w:rsidR="001805F9" w:rsidRPr="000E1D15"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sidRPr="00380629">
              <w:rPr>
                <w:sz w:val="20"/>
                <w:szCs w:val="20"/>
                <w:lang w:val="en-US"/>
              </w:rPr>
              <w:t>Professional Advice</w:t>
            </w:r>
          </w:p>
          <w:p w:rsidR="001805F9" w:rsidRDefault="001805F9" w:rsidP="00E45F42">
            <w:pPr>
              <w:rPr>
                <w:sz w:val="20"/>
                <w:szCs w:val="20"/>
                <w:lang w:val="en-US"/>
              </w:rPr>
            </w:pPr>
          </w:p>
          <w:p w:rsidR="001805F9" w:rsidRDefault="001805F9" w:rsidP="00E45F42">
            <w:pPr>
              <w:rPr>
                <w:sz w:val="20"/>
                <w:szCs w:val="20"/>
                <w:lang w:val="en-US"/>
              </w:rPr>
            </w:pPr>
          </w:p>
          <w:p w:rsidR="001805F9" w:rsidRPr="000E1D15"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Pr="000E1D15" w:rsidRDefault="001953C6" w:rsidP="001953C6">
            <w:pPr>
              <w:jc w:val="center"/>
              <w:rPr>
                <w:sz w:val="20"/>
                <w:szCs w:val="20"/>
                <w:lang w:val="en-US"/>
              </w:rPr>
            </w:pPr>
            <w:r>
              <w:rPr>
                <w:sz w:val="20"/>
                <w:szCs w:val="20"/>
                <w:lang w:val="en-US"/>
              </w:rPr>
              <w:t>H/M/L</w:t>
            </w:r>
          </w:p>
        </w:tc>
        <w:tc>
          <w:tcPr>
            <w:tcW w:w="3402" w:type="dxa"/>
            <w:tcBorders>
              <w:top w:val="single" w:sz="4" w:space="0" w:color="auto"/>
              <w:left w:val="nil"/>
              <w:bottom w:val="single" w:sz="4" w:space="0" w:color="auto"/>
              <w:right w:val="single" w:sz="4" w:space="0" w:color="auto"/>
            </w:tcBorders>
          </w:tcPr>
          <w:p w:rsidR="001805F9" w:rsidRPr="00380629" w:rsidRDefault="001805F9" w:rsidP="00E45F42">
            <w:pPr>
              <w:rPr>
                <w:sz w:val="20"/>
                <w:szCs w:val="20"/>
                <w:lang w:val="en-US"/>
              </w:rPr>
            </w:pPr>
            <w:r>
              <w:rPr>
                <w:sz w:val="20"/>
                <w:szCs w:val="20"/>
                <w:lang w:val="en-US"/>
              </w:rPr>
              <w:t>To provide a pro-active response to management requests for support and guidance on control, risk management and guidance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140E95">
            <w:pPr>
              <w:rPr>
                <w:sz w:val="20"/>
                <w:szCs w:val="20"/>
                <w:lang w:val="en-US"/>
              </w:rPr>
            </w:pPr>
            <w:r w:rsidRPr="00380629">
              <w:rPr>
                <w:sz w:val="20"/>
                <w:szCs w:val="20"/>
                <w:lang w:val="en-US"/>
              </w:rPr>
              <w:t xml:space="preserve">Advice on </w:t>
            </w:r>
            <w:r>
              <w:rPr>
                <w:sz w:val="20"/>
                <w:szCs w:val="20"/>
                <w:lang w:val="en-US"/>
              </w:rPr>
              <w:t xml:space="preserve">control, </w:t>
            </w:r>
            <w:r w:rsidRPr="00380629">
              <w:rPr>
                <w:sz w:val="20"/>
                <w:szCs w:val="20"/>
                <w:lang w:val="en-US"/>
              </w:rPr>
              <w:t xml:space="preserve">risk </w:t>
            </w:r>
            <w:r>
              <w:rPr>
                <w:sz w:val="20"/>
                <w:szCs w:val="20"/>
                <w:lang w:val="en-US"/>
              </w:rPr>
              <w:t>management and governance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7F4B40" w:rsidP="001805F9">
            <w:pPr>
              <w:jc w:val="center"/>
              <w:rPr>
                <w:sz w:val="20"/>
                <w:szCs w:val="20"/>
                <w:lang w:val="en-US"/>
              </w:rPr>
            </w:pPr>
            <w:r>
              <w:rPr>
                <w:sz w:val="20"/>
                <w:szCs w:val="20"/>
                <w:lang w:val="en-US"/>
              </w:rPr>
              <w:t>10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4E44AB" w:rsidP="001805F9">
            <w:pPr>
              <w:jc w:val="center"/>
              <w:rPr>
                <w:sz w:val="20"/>
                <w:szCs w:val="20"/>
                <w:lang w:val="en-US"/>
              </w:rPr>
            </w:pPr>
            <w:r>
              <w:rPr>
                <w:sz w:val="20"/>
                <w:szCs w:val="20"/>
                <w:lang w:val="en-US"/>
              </w:rPr>
              <w:t>Q1-4</w:t>
            </w:r>
          </w:p>
        </w:tc>
      </w:tr>
      <w:tr w:rsidR="001805F9" w:rsidRPr="000E1D15"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sidRPr="00380629">
              <w:rPr>
                <w:sz w:val="20"/>
                <w:szCs w:val="20"/>
                <w:lang w:val="en-US"/>
              </w:rPr>
              <w:t>Follow-up</w:t>
            </w:r>
          </w:p>
          <w:p w:rsidR="001805F9" w:rsidRDefault="001805F9" w:rsidP="00E45F42">
            <w:pPr>
              <w:rPr>
                <w:sz w:val="20"/>
                <w:szCs w:val="20"/>
                <w:lang w:val="en-US"/>
              </w:rPr>
            </w:pPr>
          </w:p>
          <w:p w:rsidR="001805F9" w:rsidRDefault="001805F9" w:rsidP="00E45F42">
            <w:pPr>
              <w:rPr>
                <w:sz w:val="20"/>
                <w:szCs w:val="20"/>
                <w:lang w:val="en-US"/>
              </w:rPr>
            </w:pPr>
          </w:p>
          <w:p w:rsidR="001805F9" w:rsidRPr="000E1D15"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Pr="000E1D15" w:rsidRDefault="001953C6" w:rsidP="001953C6">
            <w:pPr>
              <w:jc w:val="center"/>
              <w:rPr>
                <w:sz w:val="20"/>
                <w:szCs w:val="20"/>
                <w:lang w:val="en-US"/>
              </w:rPr>
            </w:pPr>
            <w:r>
              <w:rPr>
                <w:sz w:val="20"/>
                <w:szCs w:val="20"/>
                <w:lang w:val="en-US"/>
              </w:rPr>
              <w:t>H/M</w:t>
            </w:r>
          </w:p>
        </w:tc>
        <w:tc>
          <w:tcPr>
            <w:tcW w:w="3402" w:type="dxa"/>
            <w:tcBorders>
              <w:top w:val="single" w:sz="4" w:space="0" w:color="auto"/>
              <w:left w:val="nil"/>
              <w:bottom w:val="single" w:sz="4" w:space="0" w:color="auto"/>
              <w:right w:val="single" w:sz="4" w:space="0" w:color="auto"/>
            </w:tcBorders>
          </w:tcPr>
          <w:p w:rsidR="001805F9" w:rsidRDefault="001805F9" w:rsidP="00140E95">
            <w:pPr>
              <w:rPr>
                <w:sz w:val="20"/>
                <w:szCs w:val="20"/>
                <w:lang w:val="en-US"/>
              </w:rPr>
            </w:pPr>
            <w:r>
              <w:rPr>
                <w:sz w:val="20"/>
                <w:szCs w:val="20"/>
                <w:lang w:val="en-US"/>
              </w:rPr>
              <w:t xml:space="preserve">To provide assurance on the implementation of audit recommendations by management in accordance with the agreed strategy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9A6F3D">
            <w:pPr>
              <w:rPr>
                <w:sz w:val="20"/>
                <w:szCs w:val="20"/>
                <w:lang w:val="en-US"/>
              </w:rPr>
            </w:pPr>
            <w:r>
              <w:rPr>
                <w:sz w:val="20"/>
                <w:szCs w:val="20"/>
                <w:lang w:val="en-US"/>
              </w:rPr>
              <w:t xml:space="preserve">Follow-up of </w:t>
            </w:r>
            <w:r w:rsidRPr="00380629">
              <w:rPr>
                <w:sz w:val="20"/>
                <w:szCs w:val="20"/>
                <w:lang w:val="en-US"/>
              </w:rPr>
              <w:t>Red, Red/Amber</w:t>
            </w:r>
            <w:r w:rsidR="009A6F3D">
              <w:rPr>
                <w:sz w:val="20"/>
                <w:szCs w:val="20"/>
                <w:lang w:val="en-US"/>
              </w:rPr>
              <w:t xml:space="preserve"> &amp;</w:t>
            </w:r>
            <w:r w:rsidRPr="00380629">
              <w:rPr>
                <w:sz w:val="20"/>
                <w:szCs w:val="20"/>
                <w:lang w:val="en-US"/>
              </w:rPr>
              <w:t xml:space="preserve"> Amber reports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F358E3" w:rsidP="001805F9">
            <w:pPr>
              <w:jc w:val="center"/>
              <w:rPr>
                <w:sz w:val="20"/>
                <w:szCs w:val="20"/>
                <w:lang w:val="en-US"/>
              </w:rPr>
            </w:pPr>
            <w:r>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4E44AB" w:rsidP="001805F9">
            <w:pPr>
              <w:jc w:val="center"/>
              <w:rPr>
                <w:sz w:val="20"/>
                <w:szCs w:val="20"/>
                <w:lang w:val="en-US"/>
              </w:rPr>
            </w:pPr>
            <w:r>
              <w:rPr>
                <w:sz w:val="20"/>
                <w:szCs w:val="20"/>
                <w:lang w:val="en-US"/>
              </w:rPr>
              <w:t>Q1-4</w:t>
            </w:r>
          </w:p>
        </w:tc>
      </w:tr>
      <w:tr w:rsidR="004E44AB" w:rsidRPr="000E1D15" w:rsidTr="009D128D">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E44AB" w:rsidRDefault="004E44AB" w:rsidP="00B32784">
            <w:pPr>
              <w:rPr>
                <w:sz w:val="20"/>
                <w:szCs w:val="20"/>
                <w:lang w:val="en-US"/>
              </w:rPr>
            </w:pPr>
            <w:r>
              <w:rPr>
                <w:b/>
                <w:sz w:val="20"/>
                <w:szCs w:val="20"/>
                <w:lang w:val="en-US"/>
              </w:rPr>
              <w:t>TOTAL DAYS IN 20</w:t>
            </w:r>
            <w:r w:rsidR="00B32784">
              <w:rPr>
                <w:b/>
                <w:sz w:val="20"/>
                <w:szCs w:val="20"/>
                <w:lang w:val="en-US"/>
              </w:rPr>
              <w:t>20</w:t>
            </w:r>
            <w:r>
              <w:rPr>
                <w:b/>
                <w:sz w:val="20"/>
                <w:szCs w:val="20"/>
                <w:lang w:val="en-US"/>
              </w:rPr>
              <w:t>/</w:t>
            </w:r>
            <w:r w:rsidR="00B32784">
              <w:rPr>
                <w:b/>
                <w:sz w:val="20"/>
                <w:szCs w:val="20"/>
                <w:lang w:val="en-US"/>
              </w:rPr>
              <w:t>21</w:t>
            </w:r>
            <w:r>
              <w:rPr>
                <w:b/>
                <w:sz w:val="20"/>
                <w:szCs w:val="20"/>
                <w:lang w:val="en-US"/>
              </w:rPr>
              <w:t xml:space="preserve"> PLAN                                                                                                                                                                    </w:t>
            </w:r>
            <w:r>
              <w:rPr>
                <w:sz w:val="20"/>
                <w:szCs w:val="20"/>
                <w:lang w:val="en-US"/>
              </w:rPr>
              <w:t xml:space="preserve">  </w:t>
            </w:r>
            <w:r w:rsidR="007A570B">
              <w:rPr>
                <w:sz w:val="20"/>
                <w:szCs w:val="20"/>
                <w:lang w:val="en-US"/>
              </w:rPr>
              <w:t>5</w:t>
            </w:r>
            <w:r w:rsidR="007F4B40">
              <w:rPr>
                <w:sz w:val="20"/>
                <w:szCs w:val="20"/>
                <w:lang w:val="en-US"/>
              </w:rPr>
              <w:t>6</w:t>
            </w:r>
            <w:r w:rsidR="007A570B">
              <w:rPr>
                <w:sz w:val="20"/>
                <w:szCs w:val="20"/>
                <w:lang w:val="en-US"/>
              </w:rPr>
              <w:t>5</w:t>
            </w:r>
          </w:p>
        </w:tc>
      </w:tr>
    </w:tbl>
    <w:p w:rsidR="00013629" w:rsidRDefault="00013629"/>
    <w:p w:rsidR="00B32784" w:rsidRDefault="00B32784">
      <w:r>
        <w:br w:type="page"/>
      </w:r>
    </w:p>
    <w:p w:rsidR="00013629" w:rsidRDefault="00013629"/>
    <w:tbl>
      <w:tblPr>
        <w:tblW w:w="11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0307"/>
        <w:gridCol w:w="992"/>
      </w:tblGrid>
      <w:tr w:rsidR="00E41E4F" w:rsidRPr="00FB7AF2" w:rsidTr="00013629">
        <w:trPr>
          <w:trHeight w:val="275"/>
        </w:trPr>
        <w:tc>
          <w:tcPr>
            <w:tcW w:w="439" w:type="dxa"/>
            <w:tcBorders>
              <w:bottom w:val="single" w:sz="4" w:space="0" w:color="auto"/>
            </w:tcBorders>
            <w:shd w:val="clear" w:color="auto" w:fill="A6A6A6"/>
            <w:noWrap/>
          </w:tcPr>
          <w:p w:rsidR="00E41E4F" w:rsidRPr="00FB7AF2" w:rsidRDefault="00E41E4F" w:rsidP="00E45F42">
            <w:pPr>
              <w:rPr>
                <w:b/>
                <w:bCs/>
                <w:color w:val="000000"/>
                <w:lang w:val="en-US"/>
              </w:rPr>
            </w:pPr>
            <w:r>
              <w:br w:type="page"/>
            </w:r>
          </w:p>
        </w:tc>
        <w:tc>
          <w:tcPr>
            <w:tcW w:w="10307" w:type="dxa"/>
            <w:tcBorders>
              <w:bottom w:val="single" w:sz="4" w:space="0" w:color="auto"/>
            </w:tcBorders>
            <w:shd w:val="clear" w:color="auto" w:fill="A6A6A6"/>
          </w:tcPr>
          <w:p w:rsidR="00E41E4F" w:rsidRPr="00FB7AF2" w:rsidRDefault="00E41E4F" w:rsidP="00E41E4F">
            <w:pPr>
              <w:rPr>
                <w:b/>
                <w:bCs/>
                <w:color w:val="000000"/>
                <w:lang w:val="en-US"/>
              </w:rPr>
            </w:pPr>
            <w:r>
              <w:rPr>
                <w:b/>
                <w:bCs/>
                <w:color w:val="000000"/>
                <w:lang w:val="en-US"/>
              </w:rPr>
              <w:t xml:space="preserve">Internal Audit </w:t>
            </w:r>
            <w:r w:rsidRPr="00FB7AF2">
              <w:rPr>
                <w:b/>
                <w:bCs/>
                <w:color w:val="000000"/>
                <w:lang w:val="en-US"/>
              </w:rPr>
              <w:t>Performance Indicator</w:t>
            </w:r>
            <w:r>
              <w:rPr>
                <w:b/>
                <w:bCs/>
                <w:color w:val="000000"/>
                <w:lang w:val="en-US"/>
              </w:rPr>
              <w:t xml:space="preserve"> 2019/20</w:t>
            </w:r>
          </w:p>
        </w:tc>
        <w:tc>
          <w:tcPr>
            <w:tcW w:w="992" w:type="dxa"/>
            <w:tcBorders>
              <w:bottom w:val="single" w:sz="4" w:space="0" w:color="auto"/>
            </w:tcBorders>
            <w:shd w:val="clear" w:color="auto" w:fill="A6A6A6"/>
          </w:tcPr>
          <w:p w:rsidR="00E41E4F" w:rsidRPr="00FB7AF2" w:rsidRDefault="00E41E4F" w:rsidP="00E45F42">
            <w:pPr>
              <w:rPr>
                <w:b/>
                <w:bCs/>
                <w:color w:val="000000"/>
                <w:lang w:val="en-US"/>
              </w:rPr>
            </w:pPr>
            <w:r w:rsidRPr="00FB7AF2">
              <w:rPr>
                <w:b/>
                <w:bCs/>
                <w:color w:val="000000"/>
                <w:lang w:val="en-US"/>
              </w:rPr>
              <w:t>Target</w:t>
            </w:r>
          </w:p>
        </w:tc>
      </w:tr>
      <w:tr w:rsidR="00E41E4F" w:rsidRPr="00FB7AF2" w:rsidTr="00013629">
        <w:trPr>
          <w:trHeight w:val="166"/>
        </w:trPr>
        <w:tc>
          <w:tcPr>
            <w:tcW w:w="439" w:type="dxa"/>
            <w:shd w:val="clear" w:color="auto" w:fill="auto"/>
          </w:tcPr>
          <w:p w:rsidR="00E41E4F" w:rsidRPr="00FB7AF2" w:rsidRDefault="00E41E4F" w:rsidP="00E45F42">
            <w:pPr>
              <w:rPr>
                <w:color w:val="000000"/>
              </w:rPr>
            </w:pPr>
            <w:r w:rsidRPr="00FB7AF2">
              <w:rPr>
                <w:color w:val="000000"/>
              </w:rPr>
              <w:t>1</w:t>
            </w:r>
          </w:p>
        </w:tc>
        <w:tc>
          <w:tcPr>
            <w:tcW w:w="10307" w:type="dxa"/>
          </w:tcPr>
          <w:p w:rsidR="00E41E4F" w:rsidRPr="00FB7AF2" w:rsidRDefault="00E41E4F" w:rsidP="00E45F42">
            <w:pPr>
              <w:rPr>
                <w:color w:val="000000"/>
              </w:rPr>
            </w:pPr>
            <w:r w:rsidRPr="00FB7AF2">
              <w:rPr>
                <w:color w:val="000000"/>
              </w:rPr>
              <w:t>Recommendations agreed for implementation</w:t>
            </w:r>
          </w:p>
        </w:tc>
        <w:tc>
          <w:tcPr>
            <w:tcW w:w="992" w:type="dxa"/>
          </w:tcPr>
          <w:p w:rsidR="00E41E4F" w:rsidRPr="00FB7AF2" w:rsidRDefault="00E41E4F" w:rsidP="00E45F42">
            <w:pPr>
              <w:rPr>
                <w:color w:val="000000"/>
              </w:rPr>
            </w:pPr>
            <w:r w:rsidRPr="00FB7AF2">
              <w:rPr>
                <w:color w:val="000000"/>
              </w:rPr>
              <w:t>95%</w:t>
            </w:r>
          </w:p>
        </w:tc>
      </w:tr>
      <w:tr w:rsidR="00E41E4F" w:rsidRPr="00FB7AF2" w:rsidTr="00013629">
        <w:trPr>
          <w:trHeight w:val="166"/>
        </w:trPr>
        <w:tc>
          <w:tcPr>
            <w:tcW w:w="439" w:type="dxa"/>
            <w:shd w:val="clear" w:color="auto" w:fill="auto"/>
          </w:tcPr>
          <w:p w:rsidR="00E41E4F" w:rsidRPr="00FB7AF2" w:rsidRDefault="00E41E4F" w:rsidP="00E45F42">
            <w:pPr>
              <w:rPr>
                <w:color w:val="000000"/>
              </w:rPr>
            </w:pPr>
            <w:r w:rsidRPr="00FB7AF2">
              <w:rPr>
                <w:color w:val="000000"/>
              </w:rPr>
              <w:t>2</w:t>
            </w:r>
          </w:p>
        </w:tc>
        <w:tc>
          <w:tcPr>
            <w:tcW w:w="10307" w:type="dxa"/>
          </w:tcPr>
          <w:p w:rsidR="00E41E4F" w:rsidRPr="00FB7AF2" w:rsidRDefault="00E41E4F" w:rsidP="00E45F42">
            <w:pPr>
              <w:rPr>
                <w:color w:val="000000"/>
              </w:rPr>
            </w:pPr>
            <w:r w:rsidRPr="00FB7AF2">
              <w:rPr>
                <w:color w:val="000000"/>
              </w:rPr>
              <w:t>Follow up undertaken</w:t>
            </w:r>
            <w:r w:rsidR="00F358E3">
              <w:rPr>
                <w:color w:val="000000"/>
              </w:rPr>
              <w:t xml:space="preserve"> – red and red/amber assurance reviews</w:t>
            </w:r>
          </w:p>
        </w:tc>
        <w:tc>
          <w:tcPr>
            <w:tcW w:w="992" w:type="dxa"/>
          </w:tcPr>
          <w:p w:rsidR="00E41E4F" w:rsidRPr="00FB7AF2" w:rsidRDefault="00E41E4F" w:rsidP="00E45F42">
            <w:pPr>
              <w:rPr>
                <w:color w:val="000000"/>
              </w:rPr>
            </w:pPr>
            <w:r w:rsidRPr="00FB7AF2">
              <w:rPr>
                <w:color w:val="000000"/>
              </w:rPr>
              <w:t>100%</w:t>
            </w:r>
          </w:p>
        </w:tc>
      </w:tr>
      <w:tr w:rsidR="00F358E3" w:rsidRPr="00FB7AF2" w:rsidTr="00013629">
        <w:trPr>
          <w:trHeight w:val="166"/>
        </w:trPr>
        <w:tc>
          <w:tcPr>
            <w:tcW w:w="439" w:type="dxa"/>
            <w:shd w:val="clear" w:color="auto" w:fill="auto"/>
          </w:tcPr>
          <w:p w:rsidR="00F358E3" w:rsidRPr="00FB7AF2" w:rsidRDefault="00F358E3" w:rsidP="00E45F42">
            <w:pPr>
              <w:rPr>
                <w:color w:val="000000"/>
              </w:rPr>
            </w:pPr>
            <w:r>
              <w:rPr>
                <w:color w:val="000000"/>
              </w:rPr>
              <w:t>3</w:t>
            </w:r>
          </w:p>
        </w:tc>
        <w:tc>
          <w:tcPr>
            <w:tcW w:w="10307" w:type="dxa"/>
          </w:tcPr>
          <w:p w:rsidR="00F358E3" w:rsidRPr="00FB7AF2" w:rsidRDefault="00F358E3" w:rsidP="00E45F42">
            <w:pPr>
              <w:rPr>
                <w:color w:val="000000"/>
              </w:rPr>
            </w:pPr>
            <w:r>
              <w:rPr>
                <w:color w:val="000000"/>
              </w:rPr>
              <w:t>Follow-up undertaken – amber assurance reviews</w:t>
            </w:r>
          </w:p>
        </w:tc>
        <w:tc>
          <w:tcPr>
            <w:tcW w:w="992" w:type="dxa"/>
          </w:tcPr>
          <w:p w:rsidR="00F358E3" w:rsidRPr="00FB7AF2" w:rsidRDefault="00F358E3" w:rsidP="00E45F42">
            <w:pPr>
              <w:rPr>
                <w:color w:val="000000"/>
              </w:rPr>
            </w:pPr>
            <w:r>
              <w:rPr>
                <w:color w:val="000000"/>
              </w:rPr>
              <w:t>70%</w:t>
            </w:r>
          </w:p>
        </w:tc>
      </w:tr>
      <w:tr w:rsidR="00E41E4F" w:rsidRPr="00FB7AF2" w:rsidTr="00013629">
        <w:trPr>
          <w:trHeight w:val="166"/>
        </w:trPr>
        <w:tc>
          <w:tcPr>
            <w:tcW w:w="439" w:type="dxa"/>
            <w:shd w:val="clear" w:color="auto" w:fill="auto"/>
          </w:tcPr>
          <w:p w:rsidR="00E41E4F" w:rsidRPr="00FB7AF2" w:rsidRDefault="00F358E3" w:rsidP="00E45F42">
            <w:pPr>
              <w:rPr>
                <w:color w:val="000000"/>
              </w:rPr>
            </w:pPr>
            <w:r>
              <w:rPr>
                <w:color w:val="000000"/>
              </w:rPr>
              <w:t>4</w:t>
            </w:r>
          </w:p>
        </w:tc>
        <w:tc>
          <w:tcPr>
            <w:tcW w:w="10307" w:type="dxa"/>
          </w:tcPr>
          <w:p w:rsidR="00E41E4F" w:rsidRPr="00FB7AF2" w:rsidRDefault="00E41E4F" w:rsidP="00E45F42">
            <w:pPr>
              <w:rPr>
                <w:color w:val="000000"/>
              </w:rPr>
            </w:pPr>
            <w:r w:rsidRPr="00FB7AF2">
              <w:rPr>
                <w:color w:val="000000"/>
              </w:rPr>
              <w:t>Plan achieved for key control reviews</w:t>
            </w:r>
          </w:p>
        </w:tc>
        <w:tc>
          <w:tcPr>
            <w:tcW w:w="992" w:type="dxa"/>
          </w:tcPr>
          <w:p w:rsidR="00E41E4F" w:rsidRPr="00FB7AF2" w:rsidRDefault="00E41E4F" w:rsidP="00E45F42">
            <w:pPr>
              <w:rPr>
                <w:color w:val="000000"/>
              </w:rPr>
            </w:pPr>
            <w:r w:rsidRPr="00FB7AF2">
              <w:rPr>
                <w:color w:val="000000"/>
              </w:rPr>
              <w:t>100%</w:t>
            </w:r>
          </w:p>
        </w:tc>
      </w:tr>
      <w:tr w:rsidR="00E41E4F" w:rsidRPr="00FB7AF2" w:rsidTr="00013629">
        <w:trPr>
          <w:trHeight w:val="166"/>
        </w:trPr>
        <w:tc>
          <w:tcPr>
            <w:tcW w:w="439" w:type="dxa"/>
            <w:shd w:val="clear" w:color="auto" w:fill="auto"/>
          </w:tcPr>
          <w:p w:rsidR="00E41E4F" w:rsidRPr="00FB7AF2" w:rsidRDefault="00F358E3" w:rsidP="00E45F42">
            <w:pPr>
              <w:rPr>
                <w:color w:val="000000"/>
              </w:rPr>
            </w:pPr>
            <w:r>
              <w:rPr>
                <w:color w:val="000000"/>
              </w:rPr>
              <w:t>5</w:t>
            </w:r>
          </w:p>
        </w:tc>
        <w:tc>
          <w:tcPr>
            <w:tcW w:w="10307" w:type="dxa"/>
          </w:tcPr>
          <w:p w:rsidR="00E41E4F" w:rsidRPr="00FB7AF2" w:rsidRDefault="00E41E4F" w:rsidP="00E45F42">
            <w:pPr>
              <w:rPr>
                <w:color w:val="000000"/>
              </w:rPr>
            </w:pPr>
            <w:r w:rsidRPr="00FB7AF2">
              <w:rPr>
                <w:color w:val="000000"/>
              </w:rPr>
              <w:t>Plan achieved overall (key indicator)</w:t>
            </w:r>
          </w:p>
        </w:tc>
        <w:tc>
          <w:tcPr>
            <w:tcW w:w="992" w:type="dxa"/>
          </w:tcPr>
          <w:p w:rsidR="00E41E4F" w:rsidRPr="00FB7AF2" w:rsidRDefault="00E41E4F" w:rsidP="00E45F42">
            <w:pPr>
              <w:rPr>
                <w:color w:val="000000"/>
              </w:rPr>
            </w:pPr>
            <w:r>
              <w:rPr>
                <w:color w:val="000000"/>
              </w:rPr>
              <w:t>90</w:t>
            </w:r>
            <w:r w:rsidRPr="00FB7AF2">
              <w:rPr>
                <w:color w:val="000000"/>
              </w:rPr>
              <w:t>%</w:t>
            </w:r>
          </w:p>
        </w:tc>
      </w:tr>
      <w:tr w:rsidR="00E41E4F" w:rsidRPr="003B7A60" w:rsidTr="00013629">
        <w:trPr>
          <w:trHeight w:val="436"/>
        </w:trPr>
        <w:tc>
          <w:tcPr>
            <w:tcW w:w="439" w:type="dxa"/>
            <w:tcBorders>
              <w:bottom w:val="single" w:sz="4" w:space="0" w:color="auto"/>
            </w:tcBorders>
            <w:shd w:val="clear" w:color="auto" w:fill="A6A6A6"/>
            <w:noWrap/>
          </w:tcPr>
          <w:p w:rsidR="00E41E4F" w:rsidRPr="003B7A60" w:rsidRDefault="00E41E4F" w:rsidP="00E45F42">
            <w:pPr>
              <w:rPr>
                <w:b/>
                <w:bCs/>
                <w:color w:val="000000"/>
                <w:lang w:val="en-US"/>
              </w:rPr>
            </w:pPr>
          </w:p>
        </w:tc>
        <w:tc>
          <w:tcPr>
            <w:tcW w:w="10307" w:type="dxa"/>
            <w:tcBorders>
              <w:bottom w:val="single" w:sz="4" w:space="0" w:color="auto"/>
            </w:tcBorders>
            <w:shd w:val="clear" w:color="auto" w:fill="A6A6A6"/>
          </w:tcPr>
          <w:p w:rsidR="00E41E4F" w:rsidRPr="003B7A60" w:rsidRDefault="00E41E4F" w:rsidP="00E45F42">
            <w:pPr>
              <w:rPr>
                <w:b/>
                <w:bCs/>
                <w:color w:val="000000"/>
                <w:lang w:val="en-US"/>
              </w:rPr>
            </w:pPr>
            <w:r>
              <w:rPr>
                <w:b/>
                <w:bCs/>
                <w:color w:val="000000"/>
                <w:lang w:val="en-US"/>
              </w:rPr>
              <w:t xml:space="preserve">Corporate </w:t>
            </w:r>
            <w:r w:rsidRPr="003B7A60">
              <w:rPr>
                <w:b/>
                <w:bCs/>
                <w:color w:val="000000"/>
                <w:lang w:val="en-US"/>
              </w:rPr>
              <w:t>Performance Indicator</w:t>
            </w:r>
          </w:p>
        </w:tc>
        <w:tc>
          <w:tcPr>
            <w:tcW w:w="992" w:type="dxa"/>
            <w:tcBorders>
              <w:bottom w:val="single" w:sz="4" w:space="0" w:color="auto"/>
            </w:tcBorders>
            <w:shd w:val="clear" w:color="auto" w:fill="A6A6A6"/>
          </w:tcPr>
          <w:p w:rsidR="00E41E4F" w:rsidRPr="003B7A60" w:rsidRDefault="00E41E4F" w:rsidP="00E45F42">
            <w:pPr>
              <w:rPr>
                <w:b/>
                <w:bCs/>
                <w:color w:val="000000"/>
                <w:lang w:val="en-US"/>
              </w:rPr>
            </w:pPr>
            <w:r w:rsidRPr="003B7A60">
              <w:rPr>
                <w:b/>
                <w:bCs/>
                <w:color w:val="000000"/>
                <w:lang w:val="en-US"/>
              </w:rPr>
              <w:t>Target</w:t>
            </w:r>
          </w:p>
        </w:tc>
      </w:tr>
      <w:tr w:rsidR="00E41E4F" w:rsidRPr="003B7A60" w:rsidTr="00013629">
        <w:trPr>
          <w:trHeight w:val="166"/>
        </w:trPr>
        <w:tc>
          <w:tcPr>
            <w:tcW w:w="439" w:type="dxa"/>
            <w:shd w:val="clear" w:color="auto" w:fill="auto"/>
          </w:tcPr>
          <w:p w:rsidR="00E41E4F" w:rsidRPr="003B7A60" w:rsidRDefault="00E41E4F" w:rsidP="00E45F42">
            <w:pPr>
              <w:rPr>
                <w:color w:val="000000"/>
              </w:rPr>
            </w:pPr>
            <w:r w:rsidRPr="003B7A60">
              <w:rPr>
                <w:color w:val="000000"/>
              </w:rPr>
              <w:t>1</w:t>
            </w:r>
          </w:p>
        </w:tc>
        <w:tc>
          <w:tcPr>
            <w:tcW w:w="10307" w:type="dxa"/>
          </w:tcPr>
          <w:p w:rsidR="00E41E4F" w:rsidRPr="003B7A60" w:rsidRDefault="00E41E4F" w:rsidP="00E45F42">
            <w:pPr>
              <w:rPr>
                <w:color w:val="000000"/>
              </w:rPr>
            </w:pPr>
            <w:r w:rsidRPr="003B7A60">
              <w:rPr>
                <w:color w:val="000000"/>
              </w:rPr>
              <w:t>Implementation of recommendations</w:t>
            </w:r>
          </w:p>
        </w:tc>
        <w:tc>
          <w:tcPr>
            <w:tcW w:w="992" w:type="dxa"/>
          </w:tcPr>
          <w:p w:rsidR="00E41E4F" w:rsidRPr="003B7A60" w:rsidRDefault="00E41E4F" w:rsidP="00E45F42">
            <w:pPr>
              <w:rPr>
                <w:color w:val="000000"/>
              </w:rPr>
            </w:pPr>
            <w:r w:rsidRPr="003B7A60">
              <w:rPr>
                <w:color w:val="000000"/>
              </w:rPr>
              <w:t>90%</w:t>
            </w:r>
          </w:p>
        </w:tc>
      </w:tr>
    </w:tbl>
    <w:p w:rsidR="007B7BAC" w:rsidRDefault="007B7BAC"/>
    <w:p w:rsidR="001805F9" w:rsidRDefault="00F358E3">
      <w:r>
        <w:t>The Performance Indicator for follow-ups has been split to reflect the reduced Internal Audit resources available to undertake follow-ups.</w:t>
      </w:r>
    </w:p>
    <w:p w:rsidR="003B59E7" w:rsidRDefault="003B59E7">
      <w:r>
        <w:br w:type="page"/>
      </w:r>
    </w:p>
    <w:p w:rsidR="009D128D" w:rsidRDefault="009D128D"/>
    <w:p w:rsidR="009D128D" w:rsidRPr="009D128D" w:rsidRDefault="009D128D">
      <w:pPr>
        <w:rPr>
          <w:b/>
        </w:rPr>
      </w:pPr>
      <w:r w:rsidRPr="009D128D">
        <w:rPr>
          <w:b/>
        </w:rPr>
        <w:t>Corporate Anti-Fraud Plan</w:t>
      </w:r>
    </w:p>
    <w:p w:rsidR="009D128D" w:rsidRDefault="009D128D"/>
    <w:tbl>
      <w:tblPr>
        <w:tblW w:w="13642" w:type="dxa"/>
        <w:tblInd w:w="103" w:type="dxa"/>
        <w:tblLook w:val="0000" w:firstRow="0" w:lastRow="0" w:firstColumn="0" w:lastColumn="0" w:noHBand="0" w:noVBand="0"/>
      </w:tblPr>
      <w:tblGrid>
        <w:gridCol w:w="495"/>
        <w:gridCol w:w="4075"/>
        <w:gridCol w:w="9072"/>
      </w:tblGrid>
      <w:tr w:rsidR="00B32784" w:rsidRPr="00380629" w:rsidTr="00622BAE">
        <w:trPr>
          <w:trHeight w:val="602"/>
        </w:trPr>
        <w:tc>
          <w:tcPr>
            <w:tcW w:w="495" w:type="dxa"/>
            <w:tcBorders>
              <w:top w:val="single" w:sz="4" w:space="0" w:color="auto"/>
              <w:left w:val="single" w:sz="4" w:space="0" w:color="auto"/>
              <w:bottom w:val="single" w:sz="4" w:space="0" w:color="auto"/>
              <w:right w:val="single" w:sz="4" w:space="0" w:color="auto"/>
            </w:tcBorders>
            <w:shd w:val="clear" w:color="auto" w:fill="002060"/>
          </w:tcPr>
          <w:p w:rsidR="00B32784" w:rsidRDefault="00B32784" w:rsidP="00622BAE">
            <w:pPr>
              <w:rPr>
                <w:b/>
                <w:bCs/>
                <w:sz w:val="20"/>
                <w:szCs w:val="20"/>
                <w:lang w:val="en-US"/>
              </w:rPr>
            </w:pPr>
          </w:p>
        </w:tc>
        <w:tc>
          <w:tcPr>
            <w:tcW w:w="4075" w:type="dxa"/>
            <w:tcBorders>
              <w:top w:val="single" w:sz="4" w:space="0" w:color="auto"/>
              <w:left w:val="single" w:sz="4" w:space="0" w:color="auto"/>
              <w:bottom w:val="single" w:sz="4" w:space="0" w:color="auto"/>
              <w:right w:val="single" w:sz="4" w:space="0" w:color="auto"/>
            </w:tcBorders>
            <w:shd w:val="clear" w:color="auto" w:fill="002060"/>
            <w:noWrap/>
            <w:vAlign w:val="bottom"/>
          </w:tcPr>
          <w:p w:rsidR="00B32784" w:rsidRDefault="00B32784" w:rsidP="00622BAE">
            <w:pPr>
              <w:rPr>
                <w:b/>
                <w:bCs/>
                <w:sz w:val="20"/>
                <w:szCs w:val="20"/>
                <w:lang w:val="en-US"/>
              </w:rPr>
            </w:pPr>
            <w:r>
              <w:rPr>
                <w:b/>
                <w:bCs/>
                <w:sz w:val="20"/>
                <w:szCs w:val="20"/>
                <w:lang w:val="en-US"/>
              </w:rPr>
              <w:t>Fraud work stream</w:t>
            </w:r>
          </w:p>
          <w:p w:rsidR="00B32784" w:rsidRPr="00380629" w:rsidRDefault="00B32784" w:rsidP="00622BAE">
            <w:pPr>
              <w:rPr>
                <w:b/>
                <w:bCs/>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002060"/>
            <w:vAlign w:val="bottom"/>
          </w:tcPr>
          <w:p w:rsidR="00B32784" w:rsidRDefault="00B32784" w:rsidP="00622BAE">
            <w:pPr>
              <w:rPr>
                <w:b/>
                <w:bCs/>
                <w:sz w:val="20"/>
                <w:szCs w:val="20"/>
                <w:lang w:val="en-US"/>
              </w:rPr>
            </w:pPr>
          </w:p>
          <w:p w:rsidR="00B32784" w:rsidRDefault="00B32784" w:rsidP="00622BAE">
            <w:pPr>
              <w:rPr>
                <w:b/>
                <w:bCs/>
                <w:sz w:val="20"/>
                <w:szCs w:val="20"/>
                <w:lang w:val="en-US"/>
              </w:rPr>
            </w:pPr>
            <w:r>
              <w:rPr>
                <w:b/>
                <w:bCs/>
                <w:sz w:val="20"/>
                <w:szCs w:val="20"/>
                <w:lang w:val="en-US"/>
              </w:rPr>
              <w:t>Proposed counter fraud coverage</w:t>
            </w:r>
          </w:p>
          <w:p w:rsidR="00B32784" w:rsidRPr="00380629" w:rsidRDefault="00B32784" w:rsidP="00622BAE">
            <w:pPr>
              <w:rPr>
                <w:b/>
                <w:bCs/>
                <w:sz w:val="20"/>
                <w:szCs w:val="20"/>
                <w:lang w:val="en-US"/>
              </w:rPr>
            </w:pPr>
          </w:p>
        </w:tc>
      </w:tr>
      <w:tr w:rsidR="00B32784" w:rsidRPr="0075312F"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Default="00B32784" w:rsidP="00622BAE">
            <w:pPr>
              <w:rPr>
                <w:sz w:val="20"/>
                <w:szCs w:val="20"/>
                <w:lang w:val="en-US"/>
              </w:rPr>
            </w:pPr>
            <w:r>
              <w:rPr>
                <w:sz w:val="20"/>
                <w:szCs w:val="20"/>
                <w:lang w:val="en-US"/>
              </w:rPr>
              <w:t>1</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Pr="005F1A0F" w:rsidRDefault="00B32784" w:rsidP="00622BAE">
            <w:pPr>
              <w:rPr>
                <w:sz w:val="20"/>
                <w:szCs w:val="20"/>
                <w:lang w:val="en-US"/>
              </w:rPr>
            </w:pPr>
            <w:r>
              <w:rPr>
                <w:sz w:val="20"/>
                <w:szCs w:val="20"/>
                <w:lang w:val="en-US"/>
              </w:rPr>
              <w:t>Corporate fraud risk assessment</w:t>
            </w:r>
          </w:p>
        </w:tc>
        <w:tc>
          <w:tcPr>
            <w:tcW w:w="9072" w:type="dxa"/>
            <w:tcBorders>
              <w:top w:val="single" w:sz="4" w:space="0" w:color="auto"/>
              <w:left w:val="nil"/>
              <w:bottom w:val="single" w:sz="4" w:space="0" w:color="auto"/>
              <w:right w:val="single" w:sz="4" w:space="0" w:color="auto"/>
            </w:tcBorders>
            <w:shd w:val="clear" w:color="auto" w:fill="auto"/>
          </w:tcPr>
          <w:p w:rsidR="00B32784" w:rsidRPr="00E92306" w:rsidRDefault="00B32784" w:rsidP="00622BAE">
            <w:pPr>
              <w:rPr>
                <w:sz w:val="20"/>
                <w:szCs w:val="20"/>
                <w:lang w:val="en-US"/>
              </w:rPr>
            </w:pPr>
            <w:r>
              <w:rPr>
                <w:sz w:val="20"/>
                <w:szCs w:val="20"/>
                <w:lang w:val="en-US"/>
              </w:rPr>
              <w:t>Identify and assess Harrow’s fraud risk exposure affecting the principle activities in order to fully understand changing patterns in fraud and corruption threats and the potential harmful consequences to the authority and our customers.</w:t>
            </w:r>
          </w:p>
          <w:p w:rsidR="00B32784" w:rsidRPr="0075312F" w:rsidRDefault="00B32784" w:rsidP="00622BAE">
            <w:pPr>
              <w:rPr>
                <w:sz w:val="20"/>
                <w:szCs w:val="20"/>
                <w:lang w:val="en-US"/>
              </w:rPr>
            </w:pPr>
          </w:p>
        </w:tc>
      </w:tr>
      <w:tr w:rsidR="00B32784" w:rsidRPr="0075312F"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Default="00B32784" w:rsidP="00622BAE">
            <w:pPr>
              <w:rPr>
                <w:sz w:val="20"/>
                <w:szCs w:val="20"/>
                <w:lang w:val="en-US"/>
              </w:rPr>
            </w:pPr>
            <w:r>
              <w:rPr>
                <w:sz w:val="20"/>
                <w:szCs w:val="20"/>
                <w:lang w:val="en-US"/>
              </w:rPr>
              <w:t>2</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Default="00B32784" w:rsidP="00622BAE">
            <w:pPr>
              <w:rPr>
                <w:sz w:val="20"/>
                <w:szCs w:val="20"/>
                <w:lang w:val="en-US"/>
              </w:rPr>
            </w:pPr>
            <w:r>
              <w:rPr>
                <w:sz w:val="20"/>
                <w:szCs w:val="20"/>
                <w:lang w:val="en-US"/>
              </w:rPr>
              <w:t>Corporate fraud risk register</w:t>
            </w:r>
          </w:p>
        </w:tc>
        <w:tc>
          <w:tcPr>
            <w:tcW w:w="9072" w:type="dxa"/>
            <w:tcBorders>
              <w:top w:val="single" w:sz="4" w:space="0" w:color="auto"/>
              <w:left w:val="nil"/>
              <w:bottom w:val="single" w:sz="4" w:space="0" w:color="auto"/>
              <w:right w:val="single" w:sz="4" w:space="0" w:color="auto"/>
            </w:tcBorders>
            <w:shd w:val="clear" w:color="auto" w:fill="auto"/>
          </w:tcPr>
          <w:p w:rsidR="00B32784" w:rsidRDefault="00B32784" w:rsidP="00622BAE">
            <w:pPr>
              <w:rPr>
                <w:sz w:val="20"/>
                <w:szCs w:val="20"/>
                <w:lang w:val="en-US"/>
              </w:rPr>
            </w:pPr>
            <w:r>
              <w:rPr>
                <w:sz w:val="20"/>
                <w:szCs w:val="20"/>
                <w:lang w:val="en-US"/>
              </w:rPr>
              <w:t xml:space="preserve">Review and facilitate the updating of the fraud risk register annually where significant fraud and corruption risks are identified, mitigated and monitored.  Given the position with Covd-19 and most employees working from home, this review will be undertaken via a </w:t>
            </w:r>
            <w:proofErr w:type="spellStart"/>
            <w:r>
              <w:rPr>
                <w:sz w:val="20"/>
                <w:szCs w:val="20"/>
                <w:lang w:val="en-US"/>
              </w:rPr>
              <w:t>self assessment</w:t>
            </w:r>
            <w:proofErr w:type="spellEnd"/>
            <w:r>
              <w:rPr>
                <w:sz w:val="20"/>
                <w:szCs w:val="20"/>
                <w:lang w:val="en-US"/>
              </w:rPr>
              <w:t>.</w:t>
            </w:r>
          </w:p>
          <w:p w:rsidR="00B32784" w:rsidRDefault="00B32784" w:rsidP="00622BAE">
            <w:pPr>
              <w:rPr>
                <w:sz w:val="20"/>
                <w:szCs w:val="20"/>
                <w:lang w:val="en-US"/>
              </w:rPr>
            </w:pPr>
          </w:p>
        </w:tc>
      </w:tr>
      <w:tr w:rsidR="00B32784" w:rsidRPr="0075312F"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Default="00B32784" w:rsidP="00622BAE">
            <w:pPr>
              <w:rPr>
                <w:sz w:val="20"/>
                <w:szCs w:val="20"/>
                <w:lang w:val="en-US"/>
              </w:rPr>
            </w:pPr>
            <w:r>
              <w:rPr>
                <w:sz w:val="20"/>
                <w:szCs w:val="20"/>
                <w:lang w:val="en-US"/>
              </w:rPr>
              <w:t>3</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Default="00B32784" w:rsidP="00622BAE">
            <w:pPr>
              <w:rPr>
                <w:sz w:val="20"/>
                <w:szCs w:val="20"/>
                <w:lang w:val="en-US"/>
              </w:rPr>
            </w:pPr>
            <w:r>
              <w:rPr>
                <w:sz w:val="20"/>
                <w:szCs w:val="20"/>
                <w:lang w:val="en-US"/>
              </w:rPr>
              <w:t>Corporate Anti-Fraud &amp; Corruption Strategy</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2784" w:rsidRDefault="00B32784" w:rsidP="00622BAE">
            <w:pPr>
              <w:rPr>
                <w:sz w:val="20"/>
                <w:szCs w:val="20"/>
                <w:lang w:val="en-US"/>
              </w:rPr>
            </w:pPr>
            <w:r>
              <w:rPr>
                <w:sz w:val="20"/>
                <w:szCs w:val="20"/>
                <w:lang w:val="en-US"/>
              </w:rPr>
              <w:t xml:space="preserve">Review the authorities’ Corporate Anti-Fraud &amp; Corruption Strategy 2016-19 following the publication of Fighting Fraud and Corruption Locally Strategy 2020, including the drafting of any action plan to address areas for improvement contained within the local response checklist section     </w:t>
            </w:r>
          </w:p>
          <w:p w:rsidR="00B32784" w:rsidRDefault="00B32784" w:rsidP="00622BAE">
            <w:pPr>
              <w:rPr>
                <w:sz w:val="20"/>
                <w:szCs w:val="20"/>
                <w:lang w:val="en-US"/>
              </w:rPr>
            </w:pPr>
          </w:p>
        </w:tc>
      </w:tr>
      <w:tr w:rsidR="00B32784" w:rsidRPr="0075312F"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Default="00B32784" w:rsidP="00622BAE">
            <w:pPr>
              <w:rPr>
                <w:sz w:val="20"/>
                <w:szCs w:val="20"/>
                <w:lang w:val="en-US"/>
              </w:rPr>
            </w:pPr>
            <w:r>
              <w:rPr>
                <w:sz w:val="20"/>
                <w:szCs w:val="20"/>
                <w:lang w:val="en-US"/>
              </w:rPr>
              <w:t>4</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Default="00B32784" w:rsidP="00622BAE">
            <w:pPr>
              <w:rPr>
                <w:sz w:val="20"/>
                <w:szCs w:val="20"/>
                <w:lang w:val="en-US"/>
              </w:rPr>
            </w:pPr>
            <w:r>
              <w:rPr>
                <w:sz w:val="20"/>
                <w:szCs w:val="20"/>
                <w:lang w:val="en-US"/>
              </w:rPr>
              <w:t>Establish a fraud loss value methodology</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2784" w:rsidRDefault="00B32784" w:rsidP="00622BAE">
            <w:pPr>
              <w:rPr>
                <w:sz w:val="20"/>
                <w:szCs w:val="20"/>
                <w:lang w:val="en-US"/>
              </w:rPr>
            </w:pPr>
            <w:r>
              <w:rPr>
                <w:sz w:val="20"/>
                <w:szCs w:val="20"/>
                <w:lang w:val="en-US"/>
              </w:rPr>
              <w:t xml:space="preserve">Develop and implement a fraud loss </w:t>
            </w:r>
            <w:proofErr w:type="gramStart"/>
            <w:r>
              <w:rPr>
                <w:sz w:val="20"/>
                <w:szCs w:val="20"/>
                <w:lang w:val="en-US"/>
              </w:rPr>
              <w:t>value  methodology</w:t>
            </w:r>
            <w:proofErr w:type="gramEnd"/>
            <w:r>
              <w:rPr>
                <w:sz w:val="20"/>
                <w:szCs w:val="20"/>
                <w:lang w:val="en-US"/>
              </w:rPr>
              <w:t xml:space="preserve"> to apply consistently to significant fraud risk exposures enabling fraud losses to be measured accurately</w:t>
            </w:r>
          </w:p>
          <w:p w:rsidR="00B32784" w:rsidRDefault="00B32784" w:rsidP="00622BAE">
            <w:pPr>
              <w:rPr>
                <w:sz w:val="20"/>
                <w:szCs w:val="20"/>
                <w:lang w:val="en-US"/>
              </w:rPr>
            </w:pPr>
            <w:r>
              <w:rPr>
                <w:sz w:val="20"/>
                <w:szCs w:val="20"/>
                <w:lang w:val="en-US"/>
              </w:rPr>
              <w:t xml:space="preserve">  </w:t>
            </w:r>
          </w:p>
        </w:tc>
      </w:tr>
      <w:tr w:rsidR="00B32784" w:rsidRPr="0075312F"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Pr="0075312F" w:rsidRDefault="00B32784" w:rsidP="00622BAE">
            <w:pPr>
              <w:rPr>
                <w:sz w:val="20"/>
                <w:szCs w:val="20"/>
                <w:lang w:val="en-US"/>
              </w:rPr>
            </w:pPr>
            <w:r>
              <w:rPr>
                <w:sz w:val="20"/>
                <w:szCs w:val="20"/>
                <w:lang w:val="en-US"/>
              </w:rPr>
              <w:t>5</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Pr="0075312F" w:rsidRDefault="00B32784" w:rsidP="00622BAE">
            <w:pPr>
              <w:rPr>
                <w:sz w:val="20"/>
                <w:szCs w:val="20"/>
                <w:lang w:val="en-US"/>
              </w:rPr>
            </w:pPr>
            <w:r>
              <w:rPr>
                <w:sz w:val="20"/>
                <w:szCs w:val="20"/>
                <w:lang w:val="en-US"/>
              </w:rPr>
              <w:t>National Fraud Initiative co-ordination role</w:t>
            </w:r>
          </w:p>
        </w:tc>
        <w:tc>
          <w:tcPr>
            <w:tcW w:w="9072" w:type="dxa"/>
            <w:tcBorders>
              <w:top w:val="single" w:sz="4" w:space="0" w:color="auto"/>
              <w:left w:val="nil"/>
              <w:bottom w:val="single" w:sz="4" w:space="0" w:color="auto"/>
              <w:right w:val="single" w:sz="4" w:space="0" w:color="auto"/>
            </w:tcBorders>
            <w:shd w:val="clear" w:color="auto" w:fill="auto"/>
          </w:tcPr>
          <w:p w:rsidR="00B32784" w:rsidRDefault="00B32784" w:rsidP="00622BAE">
            <w:pPr>
              <w:rPr>
                <w:sz w:val="20"/>
                <w:szCs w:val="20"/>
                <w:lang w:val="en-US"/>
              </w:rPr>
            </w:pPr>
            <w:r>
              <w:rPr>
                <w:sz w:val="20"/>
                <w:szCs w:val="20"/>
                <w:lang w:val="en-US"/>
              </w:rPr>
              <w:t xml:space="preserve">Co-ordination of the 2020/21 National Fraud Initiative (NFI) project </w:t>
            </w:r>
            <w:proofErr w:type="gramStart"/>
            <w:r>
              <w:rPr>
                <w:sz w:val="20"/>
                <w:szCs w:val="20"/>
                <w:lang w:val="en-US"/>
              </w:rPr>
              <w:t>including:-</w:t>
            </w:r>
            <w:proofErr w:type="gramEnd"/>
          </w:p>
          <w:p w:rsidR="00B32784" w:rsidRDefault="00B32784" w:rsidP="00622BAE">
            <w:pPr>
              <w:rPr>
                <w:sz w:val="20"/>
                <w:szCs w:val="20"/>
                <w:lang w:val="en-US"/>
              </w:rPr>
            </w:pPr>
            <w:r>
              <w:rPr>
                <w:sz w:val="20"/>
                <w:szCs w:val="20"/>
                <w:lang w:val="en-US"/>
              </w:rPr>
              <w:lastRenderedPageBreak/>
              <w:t xml:space="preserve"> </w:t>
            </w:r>
          </w:p>
          <w:p w:rsidR="00B32784" w:rsidRDefault="00B32784" w:rsidP="00B32784">
            <w:pPr>
              <w:pStyle w:val="ListParagraph"/>
              <w:numPr>
                <w:ilvl w:val="0"/>
                <w:numId w:val="6"/>
              </w:numPr>
              <w:rPr>
                <w:sz w:val="20"/>
                <w:szCs w:val="20"/>
                <w:lang w:val="en-US"/>
              </w:rPr>
            </w:pPr>
            <w:r w:rsidRPr="005828B0">
              <w:rPr>
                <w:sz w:val="20"/>
                <w:szCs w:val="20"/>
                <w:lang w:val="en-US"/>
              </w:rPr>
              <w:t>Ensuring</w:t>
            </w:r>
            <w:r>
              <w:rPr>
                <w:sz w:val="20"/>
                <w:szCs w:val="20"/>
                <w:lang w:val="en-US"/>
              </w:rPr>
              <w:t xml:space="preserve"> all relevant service area privacy notices are up to date and follow best practice</w:t>
            </w:r>
          </w:p>
          <w:p w:rsidR="00B32784" w:rsidRDefault="00B32784" w:rsidP="00B32784">
            <w:pPr>
              <w:pStyle w:val="ListParagraph"/>
              <w:numPr>
                <w:ilvl w:val="0"/>
                <w:numId w:val="6"/>
              </w:numPr>
              <w:rPr>
                <w:sz w:val="20"/>
                <w:szCs w:val="20"/>
                <w:lang w:val="en-US"/>
              </w:rPr>
            </w:pPr>
            <w:r>
              <w:rPr>
                <w:sz w:val="20"/>
                <w:szCs w:val="20"/>
                <w:lang w:val="en-US"/>
              </w:rPr>
              <w:t>Liaison with service leads to ensure data can be provided and in accordance with the relevant data specification</w:t>
            </w:r>
          </w:p>
          <w:p w:rsidR="00B32784" w:rsidRDefault="00B32784" w:rsidP="00B32784">
            <w:pPr>
              <w:pStyle w:val="ListParagraph"/>
              <w:numPr>
                <w:ilvl w:val="0"/>
                <w:numId w:val="6"/>
              </w:numPr>
              <w:rPr>
                <w:sz w:val="20"/>
                <w:szCs w:val="20"/>
                <w:lang w:val="en-US"/>
              </w:rPr>
            </w:pPr>
            <w:r>
              <w:rPr>
                <w:sz w:val="20"/>
                <w:szCs w:val="20"/>
                <w:lang w:val="en-US"/>
              </w:rPr>
              <w:t>Ensure relevant data is extracted from legacy systems and handed to the CAFT for upload to the NFI website in accordance with the project deadline</w:t>
            </w:r>
          </w:p>
          <w:p w:rsidR="00B32784" w:rsidRPr="005828B0" w:rsidRDefault="00B32784" w:rsidP="00B32784">
            <w:pPr>
              <w:pStyle w:val="ListParagraph"/>
              <w:numPr>
                <w:ilvl w:val="0"/>
                <w:numId w:val="6"/>
              </w:numPr>
              <w:rPr>
                <w:sz w:val="20"/>
                <w:szCs w:val="20"/>
                <w:lang w:val="en-US"/>
              </w:rPr>
            </w:pPr>
            <w:r>
              <w:rPr>
                <w:sz w:val="20"/>
                <w:szCs w:val="20"/>
                <w:lang w:val="en-US"/>
              </w:rPr>
              <w:t>Act as liaison and as a support role for service areas during the project</w:t>
            </w:r>
          </w:p>
          <w:p w:rsidR="00B32784" w:rsidRDefault="00B32784" w:rsidP="00622BAE">
            <w:pPr>
              <w:rPr>
                <w:sz w:val="20"/>
                <w:szCs w:val="20"/>
                <w:lang w:val="en-US"/>
              </w:rPr>
            </w:pPr>
          </w:p>
          <w:p w:rsidR="00B32784" w:rsidRPr="009D48BF" w:rsidRDefault="00B32784" w:rsidP="00622BAE">
            <w:pPr>
              <w:rPr>
                <w:sz w:val="20"/>
                <w:szCs w:val="20"/>
                <w:lang w:val="en-US"/>
              </w:rPr>
            </w:pPr>
          </w:p>
        </w:tc>
      </w:tr>
      <w:tr w:rsidR="00B32784" w:rsidRPr="0075312F"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Pr="002055DD" w:rsidRDefault="00B32784" w:rsidP="00622BAE">
            <w:pPr>
              <w:rPr>
                <w:sz w:val="20"/>
                <w:szCs w:val="20"/>
                <w:lang w:val="en-US"/>
              </w:rPr>
            </w:pPr>
            <w:r>
              <w:rPr>
                <w:sz w:val="20"/>
                <w:szCs w:val="20"/>
                <w:lang w:val="en-US"/>
              </w:rPr>
              <w:lastRenderedPageBreak/>
              <w:t>6.</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Pr="002055DD" w:rsidRDefault="00B32784" w:rsidP="00622BAE">
            <w:pPr>
              <w:rPr>
                <w:color w:val="000000" w:themeColor="text1"/>
                <w:sz w:val="20"/>
                <w:szCs w:val="20"/>
                <w:lang w:val="en-US"/>
              </w:rPr>
            </w:pPr>
            <w:proofErr w:type="spellStart"/>
            <w:r w:rsidRPr="002055DD">
              <w:rPr>
                <w:color w:val="000000" w:themeColor="text1"/>
                <w:sz w:val="20"/>
                <w:szCs w:val="20"/>
                <w:lang w:val="en-US"/>
              </w:rPr>
              <w:t>Cifas</w:t>
            </w:r>
            <w:proofErr w:type="spellEnd"/>
            <w:r>
              <w:rPr>
                <w:color w:val="000000" w:themeColor="text1"/>
                <w:sz w:val="20"/>
                <w:szCs w:val="20"/>
                <w:lang w:val="en-US"/>
              </w:rPr>
              <w:t xml:space="preserve"> Pilot Membership project</w:t>
            </w:r>
          </w:p>
          <w:p w:rsidR="00B32784" w:rsidRPr="002055DD" w:rsidRDefault="00B32784" w:rsidP="00622BAE">
            <w:pPr>
              <w:rPr>
                <w:color w:val="000000" w:themeColor="text1"/>
                <w:sz w:val="20"/>
                <w:szCs w:val="20"/>
                <w:lang w:val="en-US"/>
              </w:rPr>
            </w:pPr>
          </w:p>
          <w:p w:rsidR="00B32784" w:rsidRPr="002055DD" w:rsidRDefault="00B32784" w:rsidP="00622BAE">
            <w:pPr>
              <w:rPr>
                <w:color w:val="000000" w:themeColor="text1"/>
                <w:sz w:val="20"/>
                <w:szCs w:val="20"/>
                <w:lang w:val="en-US"/>
              </w:rPr>
            </w:pPr>
          </w:p>
          <w:p w:rsidR="00B32784" w:rsidRPr="002055DD" w:rsidRDefault="00B32784" w:rsidP="00622BAE">
            <w:pPr>
              <w:rPr>
                <w:color w:val="000000" w:themeColor="text1"/>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auto"/>
          </w:tcPr>
          <w:p w:rsidR="00B32784" w:rsidRPr="00A21F53" w:rsidRDefault="00B32784" w:rsidP="00622BAE">
            <w:pPr>
              <w:rPr>
                <w:color w:val="FF0000"/>
                <w:sz w:val="20"/>
                <w:szCs w:val="20"/>
                <w:lang w:val="en-US"/>
              </w:rPr>
            </w:pPr>
            <w:r>
              <w:rPr>
                <w:color w:val="000000" w:themeColor="text1"/>
                <w:sz w:val="20"/>
                <w:szCs w:val="20"/>
                <w:lang w:val="en-US"/>
              </w:rPr>
              <w:t>P</w:t>
            </w:r>
            <w:r w:rsidRPr="002055DD">
              <w:rPr>
                <w:color w:val="000000" w:themeColor="text1"/>
                <w:sz w:val="20"/>
                <w:szCs w:val="20"/>
                <w:lang w:val="en-US"/>
              </w:rPr>
              <w:t xml:space="preserve">ilot membership of </w:t>
            </w:r>
            <w:proofErr w:type="spellStart"/>
            <w:r w:rsidRPr="002055DD">
              <w:rPr>
                <w:color w:val="000000" w:themeColor="text1"/>
                <w:sz w:val="20"/>
                <w:szCs w:val="20"/>
                <w:lang w:val="en-US"/>
              </w:rPr>
              <w:t>Cifas</w:t>
            </w:r>
            <w:proofErr w:type="spellEnd"/>
            <w:r w:rsidRPr="002055DD">
              <w:rPr>
                <w:color w:val="000000" w:themeColor="text1"/>
                <w:sz w:val="20"/>
                <w:szCs w:val="20"/>
                <w:lang w:val="en-US"/>
              </w:rPr>
              <w:t xml:space="preserve"> </w:t>
            </w:r>
            <w:r>
              <w:rPr>
                <w:color w:val="000000" w:themeColor="text1"/>
                <w:sz w:val="20"/>
                <w:szCs w:val="20"/>
                <w:lang w:val="en-US"/>
              </w:rPr>
              <w:t xml:space="preserve">has been extended to March 2021.  </w:t>
            </w:r>
            <w:proofErr w:type="spellStart"/>
            <w:r>
              <w:rPr>
                <w:color w:val="000000" w:themeColor="text1"/>
                <w:sz w:val="20"/>
                <w:szCs w:val="20"/>
                <w:lang w:val="en-US"/>
              </w:rPr>
              <w:t>Cifas</w:t>
            </w:r>
            <w:proofErr w:type="spellEnd"/>
            <w:r>
              <w:rPr>
                <w:color w:val="000000" w:themeColor="text1"/>
                <w:sz w:val="20"/>
                <w:szCs w:val="20"/>
                <w:lang w:val="en-US"/>
              </w:rPr>
              <w:t xml:space="preserve"> </w:t>
            </w:r>
            <w:r w:rsidRPr="002055DD">
              <w:rPr>
                <w:color w:val="000000" w:themeColor="text1"/>
                <w:sz w:val="20"/>
                <w:szCs w:val="20"/>
                <w:lang w:val="en-US"/>
              </w:rPr>
              <w:t>is the UK’s leading fraud prevention service that facilitates the sharing of fraud data for the prevention and detection of crime across the public, private and third sectors.</w:t>
            </w:r>
            <w:r>
              <w:rPr>
                <w:color w:val="000000" w:themeColor="text1"/>
                <w:sz w:val="20"/>
                <w:szCs w:val="20"/>
                <w:lang w:val="en-US"/>
              </w:rPr>
              <w:t xml:space="preserve">  A </w:t>
            </w:r>
            <w:proofErr w:type="spellStart"/>
            <w:r w:rsidRPr="004D24EB">
              <w:rPr>
                <w:sz w:val="20"/>
                <w:szCs w:val="20"/>
                <w:lang w:val="en-US"/>
              </w:rPr>
              <w:t>Cifas</w:t>
            </w:r>
            <w:proofErr w:type="spellEnd"/>
            <w:r w:rsidRPr="004D24EB">
              <w:rPr>
                <w:sz w:val="20"/>
                <w:szCs w:val="20"/>
                <w:lang w:val="en-US"/>
              </w:rPr>
              <w:t xml:space="preserve"> proactive </w:t>
            </w:r>
            <w:proofErr w:type="spellStart"/>
            <w:r w:rsidRPr="004D24EB">
              <w:rPr>
                <w:sz w:val="20"/>
                <w:szCs w:val="20"/>
                <w:lang w:val="en-US"/>
              </w:rPr>
              <w:t>datamatch</w:t>
            </w:r>
            <w:proofErr w:type="spellEnd"/>
            <w:r w:rsidRPr="004D24EB">
              <w:rPr>
                <w:sz w:val="20"/>
                <w:szCs w:val="20"/>
                <w:lang w:val="en-US"/>
              </w:rPr>
              <w:t xml:space="preserve"> </w:t>
            </w:r>
            <w:r>
              <w:rPr>
                <w:sz w:val="20"/>
                <w:szCs w:val="20"/>
                <w:lang w:val="en-US"/>
              </w:rPr>
              <w:t>project</w:t>
            </w:r>
            <w:r w:rsidRPr="004D24EB">
              <w:rPr>
                <w:sz w:val="20"/>
                <w:szCs w:val="20"/>
                <w:lang w:val="en-US"/>
              </w:rPr>
              <w:t xml:space="preserve"> </w:t>
            </w:r>
            <w:r>
              <w:rPr>
                <w:sz w:val="20"/>
                <w:szCs w:val="20"/>
                <w:lang w:val="en-US"/>
              </w:rPr>
              <w:t>involving housing tenants will be undertaken to identify tenancy fraud/misuse and potential subletting</w:t>
            </w:r>
            <w:r w:rsidRPr="004D24EB">
              <w:rPr>
                <w:sz w:val="20"/>
                <w:szCs w:val="20"/>
                <w:lang w:val="en-US"/>
              </w:rPr>
              <w:t xml:space="preserve">.  </w:t>
            </w:r>
          </w:p>
          <w:p w:rsidR="00B32784" w:rsidRPr="00A21F53" w:rsidRDefault="00B32784" w:rsidP="00622BAE">
            <w:pPr>
              <w:rPr>
                <w:strike/>
                <w:color w:val="000000" w:themeColor="text1"/>
                <w:sz w:val="20"/>
                <w:szCs w:val="20"/>
                <w:lang w:val="en-US"/>
              </w:rPr>
            </w:pPr>
          </w:p>
          <w:p w:rsidR="00B32784" w:rsidRPr="00A21F53" w:rsidRDefault="00B32784" w:rsidP="00622BAE">
            <w:pPr>
              <w:rPr>
                <w:strike/>
                <w:color w:val="000000" w:themeColor="text1"/>
                <w:sz w:val="20"/>
                <w:szCs w:val="20"/>
                <w:lang w:val="en-US"/>
              </w:rPr>
            </w:pPr>
            <w:r w:rsidRPr="00A21F53">
              <w:rPr>
                <w:strike/>
                <w:color w:val="000000" w:themeColor="text1"/>
                <w:sz w:val="20"/>
                <w:szCs w:val="20"/>
                <w:lang w:val="en-US"/>
              </w:rPr>
              <w:t xml:space="preserve"> </w:t>
            </w:r>
          </w:p>
        </w:tc>
      </w:tr>
      <w:tr w:rsidR="00B32784" w:rsidRPr="0075312F"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Pr="0075312F" w:rsidRDefault="00B32784" w:rsidP="00622BAE">
            <w:pPr>
              <w:rPr>
                <w:sz w:val="20"/>
                <w:szCs w:val="20"/>
                <w:lang w:val="en-US"/>
              </w:rPr>
            </w:pPr>
            <w:r>
              <w:rPr>
                <w:sz w:val="20"/>
                <w:szCs w:val="20"/>
                <w:lang w:val="en-US"/>
              </w:rPr>
              <w:t>7.</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Pr="0075312F" w:rsidRDefault="00B32784" w:rsidP="00622BAE">
            <w:pPr>
              <w:rPr>
                <w:sz w:val="20"/>
                <w:szCs w:val="20"/>
                <w:lang w:val="en-US"/>
              </w:rPr>
            </w:pPr>
            <w:r>
              <w:rPr>
                <w:sz w:val="20"/>
                <w:szCs w:val="20"/>
                <w:lang w:val="en-US"/>
              </w:rPr>
              <w:t>Corporate anti-fraud awareness</w:t>
            </w:r>
          </w:p>
        </w:tc>
        <w:tc>
          <w:tcPr>
            <w:tcW w:w="9072" w:type="dxa"/>
            <w:tcBorders>
              <w:top w:val="single" w:sz="4" w:space="0" w:color="auto"/>
              <w:left w:val="nil"/>
              <w:bottom w:val="single" w:sz="4" w:space="0" w:color="auto"/>
              <w:right w:val="single" w:sz="4" w:space="0" w:color="auto"/>
            </w:tcBorders>
            <w:shd w:val="clear" w:color="auto" w:fill="auto"/>
          </w:tcPr>
          <w:p w:rsidR="00B32784" w:rsidRDefault="00B32784" w:rsidP="00622BAE">
            <w:pPr>
              <w:rPr>
                <w:sz w:val="20"/>
                <w:szCs w:val="20"/>
                <w:lang w:val="en-US"/>
              </w:rPr>
            </w:pPr>
            <w:r>
              <w:rPr>
                <w:sz w:val="20"/>
                <w:szCs w:val="20"/>
                <w:lang w:val="en-US"/>
              </w:rPr>
              <w:t xml:space="preserve">Raise awareness of fraud and corruption risks both within the authority and in the community through the publication of fraud successes and awareness internally and in local and national media, including the use of all forms of social media including the following </w:t>
            </w:r>
            <w:proofErr w:type="gramStart"/>
            <w:r>
              <w:rPr>
                <w:sz w:val="20"/>
                <w:szCs w:val="20"/>
                <w:lang w:val="en-US"/>
              </w:rPr>
              <w:t>actions:-</w:t>
            </w:r>
            <w:proofErr w:type="gramEnd"/>
            <w:r>
              <w:rPr>
                <w:sz w:val="20"/>
                <w:szCs w:val="20"/>
                <w:lang w:val="en-US"/>
              </w:rPr>
              <w:t xml:space="preserve">   </w:t>
            </w:r>
          </w:p>
          <w:p w:rsidR="00B32784" w:rsidRDefault="00B32784" w:rsidP="00622BAE">
            <w:pPr>
              <w:rPr>
                <w:sz w:val="20"/>
                <w:szCs w:val="20"/>
                <w:lang w:val="en-US"/>
              </w:rPr>
            </w:pPr>
          </w:p>
          <w:p w:rsidR="00B32784" w:rsidRDefault="00B32784" w:rsidP="00622BAE">
            <w:pPr>
              <w:numPr>
                <w:ilvl w:val="0"/>
                <w:numId w:val="2"/>
              </w:numPr>
              <w:rPr>
                <w:sz w:val="20"/>
                <w:szCs w:val="20"/>
                <w:lang w:val="en-US"/>
              </w:rPr>
            </w:pPr>
            <w:r>
              <w:rPr>
                <w:sz w:val="20"/>
                <w:szCs w:val="20"/>
                <w:lang w:val="en-US"/>
              </w:rPr>
              <w:t>Launch a campaign to increase employee participation of the fraud E-learning course in the learning pod</w:t>
            </w:r>
          </w:p>
          <w:p w:rsidR="00B32784" w:rsidRDefault="00B32784" w:rsidP="00622BAE">
            <w:pPr>
              <w:ind w:left="720"/>
              <w:rPr>
                <w:sz w:val="20"/>
                <w:szCs w:val="20"/>
                <w:lang w:val="en-US"/>
              </w:rPr>
            </w:pPr>
            <w:r>
              <w:rPr>
                <w:sz w:val="20"/>
                <w:szCs w:val="20"/>
                <w:lang w:val="en-US"/>
              </w:rPr>
              <w:t xml:space="preserve">  </w:t>
            </w:r>
          </w:p>
          <w:p w:rsidR="00B32784" w:rsidRDefault="00B32784" w:rsidP="00622BAE">
            <w:pPr>
              <w:numPr>
                <w:ilvl w:val="0"/>
                <w:numId w:val="2"/>
              </w:numPr>
              <w:rPr>
                <w:sz w:val="20"/>
                <w:szCs w:val="20"/>
                <w:lang w:val="en-US"/>
              </w:rPr>
            </w:pPr>
            <w:r>
              <w:rPr>
                <w:sz w:val="20"/>
                <w:szCs w:val="20"/>
                <w:lang w:val="en-US"/>
              </w:rPr>
              <w:t>General internal communications bulletins in relation to articles on fraud and corruption</w:t>
            </w:r>
          </w:p>
          <w:p w:rsidR="00B32784" w:rsidRDefault="00B32784" w:rsidP="00622BAE">
            <w:pPr>
              <w:rPr>
                <w:sz w:val="20"/>
                <w:szCs w:val="20"/>
                <w:lang w:val="en-US"/>
              </w:rPr>
            </w:pPr>
          </w:p>
          <w:p w:rsidR="00B32784" w:rsidRDefault="00B32784" w:rsidP="00622BAE">
            <w:pPr>
              <w:numPr>
                <w:ilvl w:val="0"/>
                <w:numId w:val="2"/>
              </w:numPr>
              <w:rPr>
                <w:sz w:val="20"/>
                <w:szCs w:val="20"/>
                <w:lang w:val="en-US"/>
              </w:rPr>
            </w:pPr>
            <w:r>
              <w:rPr>
                <w:sz w:val="20"/>
                <w:szCs w:val="20"/>
                <w:lang w:val="en-US"/>
              </w:rPr>
              <w:t>Issuing management reports detailing investigation outcomes and recommendations for improving fraud risk controls are implemented if agreed according to risk (KPI5)</w:t>
            </w:r>
          </w:p>
          <w:p w:rsidR="00B32784" w:rsidRPr="00FE1473" w:rsidRDefault="00B32784" w:rsidP="00622BAE">
            <w:pPr>
              <w:rPr>
                <w:sz w:val="20"/>
                <w:szCs w:val="20"/>
                <w:lang w:val="en-US"/>
              </w:rPr>
            </w:pPr>
          </w:p>
          <w:p w:rsidR="00B32784" w:rsidRDefault="00B32784" w:rsidP="00622BAE">
            <w:pPr>
              <w:numPr>
                <w:ilvl w:val="0"/>
                <w:numId w:val="2"/>
              </w:numPr>
              <w:rPr>
                <w:sz w:val="20"/>
                <w:szCs w:val="20"/>
                <w:lang w:val="en-US"/>
              </w:rPr>
            </w:pPr>
            <w:r>
              <w:rPr>
                <w:sz w:val="20"/>
                <w:szCs w:val="20"/>
                <w:lang w:val="en-US"/>
              </w:rPr>
              <w:t>Deliver virtual fraud workshops for high risk fraud areas as determined by the outcomes of the fraud risk register</w:t>
            </w:r>
          </w:p>
          <w:p w:rsidR="00B32784" w:rsidRDefault="00B32784" w:rsidP="00622BAE">
            <w:pPr>
              <w:rPr>
                <w:sz w:val="20"/>
                <w:szCs w:val="20"/>
                <w:lang w:val="en-US"/>
              </w:rPr>
            </w:pPr>
          </w:p>
          <w:p w:rsidR="00B32784" w:rsidRDefault="00B32784" w:rsidP="00622BAE">
            <w:pPr>
              <w:numPr>
                <w:ilvl w:val="0"/>
                <w:numId w:val="2"/>
              </w:numPr>
              <w:rPr>
                <w:sz w:val="20"/>
                <w:szCs w:val="20"/>
                <w:lang w:val="en-US"/>
              </w:rPr>
            </w:pPr>
            <w:r>
              <w:rPr>
                <w:sz w:val="20"/>
                <w:szCs w:val="20"/>
                <w:lang w:val="en-US"/>
              </w:rPr>
              <w:t>Publicity through all forms of media on successful fraud cases, fraud initiatives and related prosecution outcomes</w:t>
            </w:r>
          </w:p>
          <w:p w:rsidR="00B32784" w:rsidRDefault="00B32784" w:rsidP="00622BAE">
            <w:pPr>
              <w:pStyle w:val="ListParagraph"/>
              <w:rPr>
                <w:sz w:val="20"/>
                <w:szCs w:val="20"/>
                <w:lang w:val="en-US"/>
              </w:rPr>
            </w:pPr>
          </w:p>
          <w:p w:rsidR="00B32784" w:rsidRPr="002964DF" w:rsidRDefault="00B32784" w:rsidP="00622BAE">
            <w:pPr>
              <w:ind w:left="720"/>
              <w:rPr>
                <w:sz w:val="20"/>
                <w:szCs w:val="20"/>
                <w:lang w:val="en-US"/>
              </w:rPr>
            </w:pPr>
          </w:p>
        </w:tc>
      </w:tr>
      <w:tr w:rsidR="00B32784" w:rsidRPr="0075312F"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Pr="0075312F" w:rsidRDefault="00B32784" w:rsidP="00622BAE">
            <w:pPr>
              <w:rPr>
                <w:sz w:val="20"/>
                <w:szCs w:val="20"/>
                <w:lang w:val="en-US"/>
              </w:rPr>
            </w:pPr>
            <w:r>
              <w:rPr>
                <w:sz w:val="20"/>
                <w:szCs w:val="20"/>
                <w:lang w:val="en-US"/>
              </w:rPr>
              <w:t>8.</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Pr="0075312F" w:rsidRDefault="00B32784" w:rsidP="00622BAE">
            <w:pPr>
              <w:rPr>
                <w:sz w:val="20"/>
                <w:szCs w:val="20"/>
                <w:lang w:val="en-US"/>
              </w:rPr>
            </w:pPr>
            <w:r>
              <w:rPr>
                <w:sz w:val="20"/>
                <w:szCs w:val="20"/>
                <w:lang w:val="en-US"/>
              </w:rPr>
              <w:t>Fraud liaison</w:t>
            </w:r>
          </w:p>
        </w:tc>
        <w:tc>
          <w:tcPr>
            <w:tcW w:w="9072" w:type="dxa"/>
            <w:tcBorders>
              <w:top w:val="single" w:sz="4" w:space="0" w:color="auto"/>
              <w:left w:val="nil"/>
              <w:bottom w:val="single" w:sz="4" w:space="0" w:color="auto"/>
              <w:right w:val="single" w:sz="4" w:space="0" w:color="auto"/>
            </w:tcBorders>
            <w:shd w:val="clear" w:color="auto" w:fill="auto"/>
          </w:tcPr>
          <w:p w:rsidR="00B32784" w:rsidRDefault="00B32784" w:rsidP="00622BAE">
            <w:pPr>
              <w:rPr>
                <w:sz w:val="20"/>
                <w:szCs w:val="20"/>
                <w:lang w:val="en-US"/>
              </w:rPr>
            </w:pPr>
            <w:r>
              <w:rPr>
                <w:sz w:val="20"/>
                <w:szCs w:val="20"/>
                <w:lang w:val="en-US"/>
              </w:rPr>
              <w:t xml:space="preserve">Explore, develop and maintain effective liaison with investigation teams in other boroughs and external agencies and ensure that membership and interest continues in the London Borough of Fraud Investigators Group (LBFIG), The National Anti-Fraud Network (NAFN), The Chartered Institute of Public Finance and Accountancy (CIPFA) and </w:t>
            </w:r>
            <w:proofErr w:type="spellStart"/>
            <w:r>
              <w:rPr>
                <w:sz w:val="20"/>
                <w:szCs w:val="20"/>
                <w:lang w:val="en-US"/>
              </w:rPr>
              <w:t>Cifas</w:t>
            </w:r>
            <w:proofErr w:type="spellEnd"/>
            <w:r>
              <w:rPr>
                <w:sz w:val="20"/>
                <w:szCs w:val="20"/>
                <w:lang w:val="en-US"/>
              </w:rPr>
              <w:t xml:space="preserve"> </w:t>
            </w:r>
          </w:p>
          <w:p w:rsidR="00B32784" w:rsidRDefault="00B32784" w:rsidP="00622BAE">
            <w:pPr>
              <w:rPr>
                <w:sz w:val="20"/>
                <w:szCs w:val="20"/>
                <w:lang w:val="en-US"/>
              </w:rPr>
            </w:pPr>
          </w:p>
          <w:p w:rsidR="00B32784" w:rsidRPr="0075312F" w:rsidRDefault="00B32784" w:rsidP="00622BAE">
            <w:pPr>
              <w:rPr>
                <w:sz w:val="20"/>
                <w:szCs w:val="20"/>
                <w:lang w:val="en-US"/>
              </w:rPr>
            </w:pPr>
          </w:p>
        </w:tc>
      </w:tr>
      <w:tr w:rsidR="00B32784" w:rsidRPr="005F0B23"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Pr="005F0B23" w:rsidRDefault="00B32784" w:rsidP="00622BAE">
            <w:pPr>
              <w:rPr>
                <w:sz w:val="20"/>
                <w:szCs w:val="20"/>
              </w:rPr>
            </w:pPr>
            <w:r>
              <w:rPr>
                <w:sz w:val="20"/>
                <w:szCs w:val="20"/>
              </w:rPr>
              <w:lastRenderedPageBreak/>
              <w:t>9.</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Pr="005F0B23" w:rsidRDefault="00B32784" w:rsidP="00622BAE">
            <w:pPr>
              <w:rPr>
                <w:sz w:val="20"/>
                <w:szCs w:val="20"/>
              </w:rPr>
            </w:pPr>
            <w:r>
              <w:rPr>
                <w:sz w:val="20"/>
                <w:szCs w:val="20"/>
              </w:rPr>
              <w:t>Housing fraud</w:t>
            </w:r>
          </w:p>
        </w:tc>
        <w:tc>
          <w:tcPr>
            <w:tcW w:w="9072" w:type="dxa"/>
            <w:tcBorders>
              <w:top w:val="single" w:sz="4" w:space="0" w:color="auto"/>
              <w:left w:val="nil"/>
              <w:bottom w:val="single" w:sz="4" w:space="0" w:color="auto"/>
              <w:right w:val="single" w:sz="4" w:space="0" w:color="auto"/>
            </w:tcBorders>
            <w:shd w:val="clear" w:color="auto" w:fill="auto"/>
          </w:tcPr>
          <w:p w:rsidR="00B32784" w:rsidRDefault="00B32784" w:rsidP="00622BAE">
            <w:pPr>
              <w:rPr>
                <w:sz w:val="20"/>
                <w:szCs w:val="20"/>
                <w:lang w:val="en-US"/>
              </w:rPr>
            </w:pPr>
            <w:r>
              <w:rPr>
                <w:sz w:val="20"/>
                <w:szCs w:val="20"/>
                <w:lang w:val="en-US"/>
              </w:rPr>
              <w:t>Assess and investigate allegations of fraud and abuse in the housing system working in partnership with Housing Resident Services, Housing Needs and Harrow’s RSL’s including:</w:t>
            </w:r>
          </w:p>
          <w:p w:rsidR="00B32784" w:rsidRDefault="00B32784" w:rsidP="00622BAE">
            <w:pPr>
              <w:rPr>
                <w:sz w:val="20"/>
                <w:szCs w:val="20"/>
                <w:lang w:val="en-US"/>
              </w:rPr>
            </w:pPr>
          </w:p>
          <w:p w:rsidR="00B32784" w:rsidRDefault="00B32784" w:rsidP="00622BAE">
            <w:pPr>
              <w:numPr>
                <w:ilvl w:val="0"/>
                <w:numId w:val="1"/>
              </w:numPr>
              <w:rPr>
                <w:sz w:val="20"/>
                <w:szCs w:val="20"/>
                <w:lang w:val="en-US"/>
              </w:rPr>
            </w:pPr>
            <w:r>
              <w:rPr>
                <w:sz w:val="20"/>
                <w:szCs w:val="20"/>
                <w:lang w:val="en-US"/>
              </w:rPr>
              <w:t>Seek to recover a combined total of 10 Council social housing units and disrupt/intercept fraudulent Right to Buy applications (KPI1)</w:t>
            </w:r>
          </w:p>
          <w:p w:rsidR="00B32784" w:rsidRDefault="00B32784" w:rsidP="00622BAE">
            <w:pPr>
              <w:ind w:left="720"/>
              <w:rPr>
                <w:sz w:val="20"/>
                <w:szCs w:val="20"/>
                <w:lang w:val="en-US"/>
              </w:rPr>
            </w:pPr>
          </w:p>
          <w:p w:rsidR="00B32784" w:rsidRDefault="00B32784" w:rsidP="00622BAE">
            <w:pPr>
              <w:numPr>
                <w:ilvl w:val="0"/>
                <w:numId w:val="1"/>
              </w:numPr>
              <w:rPr>
                <w:sz w:val="20"/>
                <w:szCs w:val="20"/>
                <w:lang w:val="en-US"/>
              </w:rPr>
            </w:pPr>
            <w:r w:rsidRPr="007361D6">
              <w:rPr>
                <w:sz w:val="20"/>
                <w:szCs w:val="20"/>
                <w:lang w:val="en-US"/>
              </w:rPr>
              <w:t>Prevent housing application fraud through</w:t>
            </w:r>
            <w:r>
              <w:rPr>
                <w:sz w:val="20"/>
                <w:szCs w:val="20"/>
                <w:lang w:val="en-US"/>
              </w:rPr>
              <w:t xml:space="preserve"> a partnership approach with Housing Needs providing fraud risk advice, support and the investigation of allegations of fraud </w:t>
            </w:r>
          </w:p>
          <w:p w:rsidR="00B32784" w:rsidRPr="007361D6" w:rsidRDefault="00B32784" w:rsidP="00622BAE">
            <w:pPr>
              <w:rPr>
                <w:sz w:val="20"/>
                <w:szCs w:val="20"/>
                <w:lang w:val="en-US"/>
              </w:rPr>
            </w:pPr>
          </w:p>
          <w:p w:rsidR="00B32784" w:rsidRDefault="00B32784" w:rsidP="00622BAE">
            <w:pPr>
              <w:numPr>
                <w:ilvl w:val="0"/>
                <w:numId w:val="1"/>
              </w:numPr>
              <w:rPr>
                <w:sz w:val="20"/>
                <w:szCs w:val="20"/>
                <w:lang w:val="en-US"/>
              </w:rPr>
            </w:pPr>
            <w:r w:rsidRPr="007417DD">
              <w:rPr>
                <w:sz w:val="20"/>
                <w:szCs w:val="20"/>
                <w:lang w:val="en-US"/>
              </w:rPr>
              <w:t>Prevent fraudulent Right to Buy (RTB) applications through targeted application validation</w:t>
            </w:r>
            <w:r>
              <w:rPr>
                <w:sz w:val="20"/>
                <w:szCs w:val="20"/>
                <w:lang w:val="en-US"/>
              </w:rPr>
              <w:t xml:space="preserve"> with a fraud check on at least 90% applications referred to the CAFT at offer stage and before completion (KPI2)</w:t>
            </w:r>
          </w:p>
          <w:p w:rsidR="00B32784" w:rsidRDefault="00B32784" w:rsidP="00622BAE">
            <w:pPr>
              <w:rPr>
                <w:sz w:val="20"/>
                <w:szCs w:val="20"/>
                <w:lang w:val="en-US"/>
              </w:rPr>
            </w:pPr>
          </w:p>
          <w:p w:rsidR="00B32784" w:rsidRPr="006F4ED8" w:rsidRDefault="00B32784" w:rsidP="00622BAE">
            <w:pPr>
              <w:numPr>
                <w:ilvl w:val="0"/>
                <w:numId w:val="1"/>
              </w:numPr>
              <w:rPr>
                <w:sz w:val="20"/>
                <w:szCs w:val="20"/>
              </w:rPr>
            </w:pPr>
            <w:proofErr w:type="spellStart"/>
            <w:r>
              <w:rPr>
                <w:sz w:val="20"/>
                <w:szCs w:val="20"/>
                <w:lang w:val="en-US"/>
              </w:rPr>
              <w:t>Maximise</w:t>
            </w:r>
            <w:proofErr w:type="spellEnd"/>
            <w:r>
              <w:rPr>
                <w:sz w:val="20"/>
                <w:szCs w:val="20"/>
                <w:lang w:val="en-US"/>
              </w:rPr>
              <w:t xml:space="preserve"> the use of powers contained within the Prevention of Social Housing Fraud Act 2013 (</w:t>
            </w:r>
            <w:proofErr w:type="spellStart"/>
            <w:r>
              <w:rPr>
                <w:sz w:val="20"/>
                <w:szCs w:val="20"/>
                <w:lang w:val="en-US"/>
              </w:rPr>
              <w:t>PoSHFA</w:t>
            </w:r>
            <w:proofErr w:type="spellEnd"/>
            <w:r>
              <w:rPr>
                <w:sz w:val="20"/>
                <w:szCs w:val="20"/>
                <w:lang w:val="en-US"/>
              </w:rPr>
              <w:t>) in terms of gathering evidence, investigation and prosecution of offenders and recovery of unlawful profit</w:t>
            </w:r>
          </w:p>
          <w:p w:rsidR="00B32784" w:rsidRDefault="00B32784" w:rsidP="00622BAE">
            <w:pPr>
              <w:pStyle w:val="ListParagraph"/>
              <w:rPr>
                <w:sz w:val="20"/>
                <w:szCs w:val="20"/>
              </w:rPr>
            </w:pPr>
          </w:p>
          <w:p w:rsidR="00B32784" w:rsidRPr="00686F09" w:rsidRDefault="00B32784" w:rsidP="00622BAE">
            <w:pPr>
              <w:numPr>
                <w:ilvl w:val="0"/>
                <w:numId w:val="1"/>
              </w:numPr>
              <w:rPr>
                <w:sz w:val="20"/>
                <w:szCs w:val="20"/>
              </w:rPr>
            </w:pPr>
            <w:r>
              <w:rPr>
                <w:sz w:val="20"/>
                <w:szCs w:val="20"/>
              </w:rPr>
              <w:t xml:space="preserve">Plan and implement a proactive anti-fraud </w:t>
            </w:r>
            <w:proofErr w:type="spellStart"/>
            <w:r>
              <w:rPr>
                <w:sz w:val="20"/>
                <w:szCs w:val="20"/>
              </w:rPr>
              <w:t>datamatching</w:t>
            </w:r>
            <w:proofErr w:type="spellEnd"/>
            <w:r>
              <w:rPr>
                <w:sz w:val="20"/>
                <w:szCs w:val="20"/>
              </w:rPr>
              <w:t xml:space="preserve"> exercise to identify the misuse of Council social housing units (see </w:t>
            </w:r>
            <w:proofErr w:type="spellStart"/>
            <w:r>
              <w:rPr>
                <w:sz w:val="20"/>
                <w:szCs w:val="20"/>
              </w:rPr>
              <w:t>datamatching</w:t>
            </w:r>
            <w:proofErr w:type="spellEnd"/>
            <w:r>
              <w:rPr>
                <w:sz w:val="20"/>
                <w:szCs w:val="20"/>
              </w:rPr>
              <w:t xml:space="preserve"> section above) </w:t>
            </w:r>
          </w:p>
          <w:p w:rsidR="00B32784" w:rsidRDefault="00B32784" w:rsidP="00622BAE">
            <w:pPr>
              <w:pStyle w:val="ListParagraph"/>
              <w:rPr>
                <w:sz w:val="20"/>
                <w:szCs w:val="20"/>
              </w:rPr>
            </w:pPr>
          </w:p>
          <w:p w:rsidR="00B32784" w:rsidRPr="007361D6" w:rsidRDefault="00B32784" w:rsidP="00622BAE">
            <w:pPr>
              <w:ind w:left="720"/>
              <w:rPr>
                <w:sz w:val="20"/>
                <w:szCs w:val="20"/>
              </w:rPr>
            </w:pPr>
          </w:p>
        </w:tc>
      </w:tr>
      <w:tr w:rsidR="00B32784" w:rsidRPr="005F0B23"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Default="00B32784" w:rsidP="00622BAE">
            <w:pPr>
              <w:rPr>
                <w:sz w:val="20"/>
                <w:szCs w:val="20"/>
              </w:rPr>
            </w:pPr>
            <w:r>
              <w:rPr>
                <w:sz w:val="20"/>
                <w:szCs w:val="20"/>
              </w:rPr>
              <w:t>10.</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Default="00B32784" w:rsidP="00622BAE">
            <w:pPr>
              <w:rPr>
                <w:sz w:val="20"/>
                <w:szCs w:val="20"/>
              </w:rPr>
            </w:pPr>
            <w:r>
              <w:rPr>
                <w:sz w:val="20"/>
                <w:szCs w:val="20"/>
              </w:rPr>
              <w:t>Covid-19 Business Grants</w:t>
            </w:r>
          </w:p>
        </w:tc>
        <w:tc>
          <w:tcPr>
            <w:tcW w:w="9072" w:type="dxa"/>
            <w:tcBorders>
              <w:top w:val="single" w:sz="4" w:space="0" w:color="auto"/>
              <w:left w:val="nil"/>
              <w:bottom w:val="single" w:sz="4" w:space="0" w:color="auto"/>
              <w:right w:val="single" w:sz="4" w:space="0" w:color="auto"/>
            </w:tcBorders>
            <w:shd w:val="clear" w:color="auto" w:fill="auto"/>
          </w:tcPr>
          <w:p w:rsidR="00B32784" w:rsidRPr="0059335A" w:rsidRDefault="00B32784" w:rsidP="00622BAE">
            <w:pPr>
              <w:pStyle w:val="Default"/>
              <w:rPr>
                <w:sz w:val="20"/>
                <w:szCs w:val="20"/>
              </w:rPr>
            </w:pPr>
            <w:r w:rsidRPr="0059335A">
              <w:rPr>
                <w:sz w:val="20"/>
                <w:szCs w:val="20"/>
                <w:lang w:val="en-US"/>
              </w:rPr>
              <w:t xml:space="preserve">Work jointly with Internal Audit to undertake a review of the </w:t>
            </w:r>
            <w:r w:rsidRPr="0059335A">
              <w:rPr>
                <w:sz w:val="20"/>
                <w:szCs w:val="20"/>
              </w:rPr>
              <w:t xml:space="preserve">Small Business Grants Fund, the Retail, Hospitality &amp; Leisure Grants Fund and the Discretionary Grants Fund launched by the Department for Business, Energy and Industrial Strategy </w:t>
            </w:r>
            <w:r>
              <w:rPr>
                <w:sz w:val="20"/>
                <w:szCs w:val="20"/>
              </w:rPr>
              <w:t xml:space="preserve">(BEIS) </w:t>
            </w:r>
            <w:r w:rsidRPr="0059335A">
              <w:rPr>
                <w:sz w:val="20"/>
                <w:szCs w:val="20"/>
              </w:rPr>
              <w:t xml:space="preserve">and </w:t>
            </w:r>
            <w:r>
              <w:rPr>
                <w:sz w:val="20"/>
                <w:szCs w:val="20"/>
              </w:rPr>
              <w:t>implemented</w:t>
            </w:r>
            <w:r w:rsidRPr="0059335A">
              <w:rPr>
                <w:sz w:val="20"/>
                <w:szCs w:val="20"/>
              </w:rPr>
              <w:t xml:space="preserve"> by the authority to </w:t>
            </w:r>
            <w:r>
              <w:rPr>
                <w:sz w:val="20"/>
                <w:szCs w:val="20"/>
              </w:rPr>
              <w:t xml:space="preserve">provide financial assistance to </w:t>
            </w:r>
            <w:r w:rsidRPr="0059335A">
              <w:rPr>
                <w:sz w:val="20"/>
                <w:szCs w:val="20"/>
              </w:rPr>
              <w:t xml:space="preserve">local businesses in Harrow.  This work may identify suspected fraud cases which will be investigated </w:t>
            </w:r>
            <w:proofErr w:type="gramStart"/>
            <w:r w:rsidRPr="0059335A">
              <w:rPr>
                <w:sz w:val="20"/>
                <w:szCs w:val="20"/>
              </w:rPr>
              <w:t>fully</w:t>
            </w:r>
            <w:proofErr w:type="gramEnd"/>
            <w:r>
              <w:rPr>
                <w:sz w:val="20"/>
                <w:szCs w:val="20"/>
              </w:rPr>
              <w:t xml:space="preserve"> and steps taken to recover any losses identified </w:t>
            </w:r>
            <w:r w:rsidRPr="0059335A">
              <w:rPr>
                <w:sz w:val="20"/>
                <w:szCs w:val="20"/>
              </w:rPr>
              <w:t xml:space="preserve">   </w:t>
            </w:r>
            <w:r w:rsidRPr="0059335A">
              <w:rPr>
                <w:sz w:val="20"/>
                <w:szCs w:val="20"/>
                <w:lang w:val="en-US"/>
              </w:rPr>
              <w:t xml:space="preserve">       </w:t>
            </w:r>
          </w:p>
          <w:p w:rsidR="00B32784" w:rsidRDefault="00B32784" w:rsidP="00622BAE">
            <w:pPr>
              <w:rPr>
                <w:sz w:val="20"/>
                <w:szCs w:val="20"/>
                <w:lang w:val="en-US"/>
              </w:rPr>
            </w:pPr>
          </w:p>
          <w:p w:rsidR="00B32784" w:rsidRDefault="00B32784" w:rsidP="00622BAE">
            <w:pPr>
              <w:rPr>
                <w:sz w:val="20"/>
                <w:szCs w:val="20"/>
                <w:lang w:val="en-US"/>
              </w:rPr>
            </w:pPr>
            <w:r>
              <w:rPr>
                <w:sz w:val="20"/>
                <w:szCs w:val="20"/>
                <w:lang w:val="en-US"/>
              </w:rPr>
              <w:t xml:space="preserve">  </w:t>
            </w:r>
          </w:p>
        </w:tc>
      </w:tr>
      <w:tr w:rsidR="00B32784" w:rsidRPr="005F0B23"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Pr="005F0B23" w:rsidRDefault="00B32784" w:rsidP="00622BAE">
            <w:pPr>
              <w:rPr>
                <w:sz w:val="20"/>
                <w:szCs w:val="20"/>
              </w:rPr>
            </w:pPr>
            <w:r>
              <w:rPr>
                <w:sz w:val="20"/>
                <w:szCs w:val="20"/>
              </w:rPr>
              <w:t>11.</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Pr="005F0B23" w:rsidRDefault="00B32784" w:rsidP="00622BAE">
            <w:pPr>
              <w:rPr>
                <w:sz w:val="20"/>
                <w:szCs w:val="20"/>
              </w:rPr>
            </w:pPr>
            <w:r>
              <w:rPr>
                <w:sz w:val="20"/>
                <w:szCs w:val="20"/>
              </w:rPr>
              <w:t>Internal fraud &amp; corruption</w:t>
            </w:r>
          </w:p>
        </w:tc>
        <w:tc>
          <w:tcPr>
            <w:tcW w:w="9072" w:type="dxa"/>
            <w:tcBorders>
              <w:top w:val="single" w:sz="4" w:space="0" w:color="auto"/>
              <w:left w:val="nil"/>
              <w:bottom w:val="single" w:sz="4" w:space="0" w:color="auto"/>
              <w:right w:val="single" w:sz="4" w:space="0" w:color="auto"/>
            </w:tcBorders>
            <w:shd w:val="clear" w:color="auto" w:fill="auto"/>
          </w:tcPr>
          <w:p w:rsidR="00B32784" w:rsidRDefault="00B32784" w:rsidP="00622BAE">
            <w:pPr>
              <w:rPr>
                <w:sz w:val="20"/>
                <w:szCs w:val="20"/>
                <w:lang w:val="en-US"/>
              </w:rPr>
            </w:pPr>
            <w:r>
              <w:rPr>
                <w:sz w:val="20"/>
                <w:szCs w:val="20"/>
                <w:lang w:val="en-US"/>
              </w:rPr>
              <w:t xml:space="preserve">Risk assess at least 80% of allegations of internal fraud and corruption as a priority and deploy resources on those cases where there is corroborative evidence within an average of 5 workings days of receipt of the information (KPI3).     </w:t>
            </w:r>
          </w:p>
          <w:p w:rsidR="00B32784" w:rsidRDefault="00B32784" w:rsidP="00622BAE">
            <w:pPr>
              <w:rPr>
                <w:sz w:val="20"/>
                <w:szCs w:val="20"/>
              </w:rPr>
            </w:pPr>
          </w:p>
          <w:p w:rsidR="00B32784" w:rsidRDefault="00B32784" w:rsidP="00622BAE">
            <w:pPr>
              <w:rPr>
                <w:sz w:val="20"/>
                <w:szCs w:val="20"/>
              </w:rPr>
            </w:pPr>
          </w:p>
          <w:p w:rsidR="00B32784" w:rsidRPr="005F0B23" w:rsidRDefault="00B32784" w:rsidP="00622BAE">
            <w:pPr>
              <w:rPr>
                <w:sz w:val="20"/>
                <w:szCs w:val="20"/>
              </w:rPr>
            </w:pPr>
          </w:p>
        </w:tc>
      </w:tr>
      <w:tr w:rsidR="00B32784" w:rsidRPr="006B4ED5"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Pr="006B4ED5" w:rsidRDefault="00B32784" w:rsidP="00622BAE">
            <w:pPr>
              <w:rPr>
                <w:sz w:val="20"/>
                <w:szCs w:val="20"/>
                <w:lang w:val="en-US"/>
              </w:rPr>
            </w:pPr>
            <w:r>
              <w:rPr>
                <w:sz w:val="20"/>
                <w:szCs w:val="20"/>
                <w:lang w:val="en-US"/>
              </w:rPr>
              <w:t>12.</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Pr="006B4ED5" w:rsidRDefault="00B32784" w:rsidP="00622BAE">
            <w:pPr>
              <w:rPr>
                <w:sz w:val="20"/>
                <w:szCs w:val="20"/>
                <w:lang w:val="en-US"/>
              </w:rPr>
            </w:pPr>
            <w:r>
              <w:rPr>
                <w:sz w:val="20"/>
                <w:szCs w:val="20"/>
                <w:lang w:val="en-US"/>
              </w:rPr>
              <w:t>Revenues/Business Rates/Council Tax Support fraud</w:t>
            </w:r>
          </w:p>
        </w:tc>
        <w:tc>
          <w:tcPr>
            <w:tcW w:w="9072" w:type="dxa"/>
            <w:tcBorders>
              <w:top w:val="single" w:sz="4" w:space="0" w:color="auto"/>
              <w:left w:val="nil"/>
              <w:bottom w:val="single" w:sz="4" w:space="0" w:color="auto"/>
              <w:right w:val="single" w:sz="4" w:space="0" w:color="auto"/>
            </w:tcBorders>
            <w:shd w:val="clear" w:color="auto" w:fill="auto"/>
          </w:tcPr>
          <w:p w:rsidR="00B32784" w:rsidRDefault="00B32784" w:rsidP="00622BAE">
            <w:pPr>
              <w:rPr>
                <w:sz w:val="20"/>
                <w:szCs w:val="20"/>
                <w:lang w:val="en-US"/>
              </w:rPr>
            </w:pPr>
            <w:r>
              <w:rPr>
                <w:sz w:val="20"/>
                <w:szCs w:val="20"/>
                <w:lang w:val="en-US"/>
              </w:rPr>
              <w:t xml:space="preserve">Work in partnership with Revenues and Benefits to investigate allegations of fraud and abuse on a risk basis of the Council Tax, Council Tax Support and Non Domestic Rates Systems, including </w:t>
            </w:r>
            <w:r>
              <w:rPr>
                <w:sz w:val="20"/>
                <w:szCs w:val="20"/>
                <w:lang w:val="en-US"/>
              </w:rPr>
              <w:lastRenderedPageBreak/>
              <w:t>exemptions, discounts and reliefs, apply appropriate sanctions where fraud is proven and assist in the recovery of fraud related losses</w:t>
            </w:r>
          </w:p>
          <w:p w:rsidR="00B32784" w:rsidRDefault="00B32784" w:rsidP="00622BAE">
            <w:pPr>
              <w:rPr>
                <w:sz w:val="20"/>
                <w:szCs w:val="20"/>
                <w:lang w:val="en-US"/>
              </w:rPr>
            </w:pPr>
          </w:p>
          <w:p w:rsidR="00B32784" w:rsidRPr="006B4ED5" w:rsidRDefault="00B32784" w:rsidP="00622BAE">
            <w:pPr>
              <w:rPr>
                <w:sz w:val="20"/>
                <w:szCs w:val="20"/>
                <w:lang w:val="en-US"/>
              </w:rPr>
            </w:pPr>
          </w:p>
        </w:tc>
      </w:tr>
      <w:tr w:rsidR="00B32784" w:rsidRPr="005F0B23"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Pr="005F0B23" w:rsidRDefault="00B32784" w:rsidP="00622BAE">
            <w:pPr>
              <w:rPr>
                <w:sz w:val="20"/>
                <w:szCs w:val="20"/>
              </w:rPr>
            </w:pPr>
            <w:r>
              <w:rPr>
                <w:sz w:val="20"/>
                <w:szCs w:val="20"/>
              </w:rPr>
              <w:lastRenderedPageBreak/>
              <w:t>13.</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Pr="005F0B23" w:rsidRDefault="00B32784" w:rsidP="00622BAE">
            <w:pPr>
              <w:rPr>
                <w:sz w:val="20"/>
                <w:szCs w:val="20"/>
              </w:rPr>
            </w:pPr>
            <w:r>
              <w:rPr>
                <w:sz w:val="20"/>
                <w:szCs w:val="20"/>
              </w:rPr>
              <w:t xml:space="preserve"> Social care fraud</w:t>
            </w:r>
          </w:p>
        </w:tc>
        <w:tc>
          <w:tcPr>
            <w:tcW w:w="9072" w:type="dxa"/>
            <w:tcBorders>
              <w:top w:val="single" w:sz="4" w:space="0" w:color="auto"/>
              <w:left w:val="nil"/>
              <w:bottom w:val="single" w:sz="4" w:space="0" w:color="auto"/>
              <w:right w:val="single" w:sz="4" w:space="0" w:color="auto"/>
            </w:tcBorders>
            <w:shd w:val="clear" w:color="auto" w:fill="auto"/>
          </w:tcPr>
          <w:p w:rsidR="00B32784" w:rsidRDefault="00B32784" w:rsidP="00622BAE">
            <w:pPr>
              <w:rPr>
                <w:sz w:val="20"/>
                <w:szCs w:val="20"/>
              </w:rPr>
            </w:pPr>
            <w:r w:rsidRPr="001C0E62">
              <w:rPr>
                <w:sz w:val="20"/>
                <w:szCs w:val="20"/>
              </w:rPr>
              <w:t>Work in partnership with the Peopl</w:t>
            </w:r>
            <w:r>
              <w:rPr>
                <w:sz w:val="20"/>
                <w:szCs w:val="20"/>
              </w:rPr>
              <w:t>e Directorate</w:t>
            </w:r>
            <w:r w:rsidRPr="001C0E62">
              <w:rPr>
                <w:sz w:val="20"/>
                <w:szCs w:val="20"/>
              </w:rPr>
              <w:t xml:space="preserve"> to investigate allegations of fraud and abuse of the social care system including but not limited </w:t>
            </w:r>
            <w:proofErr w:type="gramStart"/>
            <w:r w:rsidRPr="001C0E62">
              <w:rPr>
                <w:sz w:val="20"/>
                <w:szCs w:val="20"/>
              </w:rPr>
              <w:t>to</w:t>
            </w:r>
            <w:r>
              <w:rPr>
                <w:sz w:val="20"/>
                <w:szCs w:val="20"/>
              </w:rPr>
              <w:t>:-</w:t>
            </w:r>
            <w:proofErr w:type="gramEnd"/>
          </w:p>
          <w:p w:rsidR="00B32784" w:rsidRDefault="00B32784" w:rsidP="00622BAE">
            <w:pPr>
              <w:rPr>
                <w:sz w:val="20"/>
                <w:szCs w:val="20"/>
              </w:rPr>
            </w:pPr>
          </w:p>
          <w:p w:rsidR="00B32784" w:rsidRDefault="00B32784" w:rsidP="00B32784">
            <w:pPr>
              <w:pStyle w:val="ListParagraph"/>
              <w:numPr>
                <w:ilvl w:val="0"/>
                <w:numId w:val="4"/>
              </w:numPr>
              <w:ind w:left="720"/>
              <w:rPr>
                <w:sz w:val="20"/>
                <w:szCs w:val="20"/>
              </w:rPr>
            </w:pPr>
            <w:r>
              <w:rPr>
                <w:sz w:val="20"/>
                <w:szCs w:val="20"/>
              </w:rPr>
              <w:t>P</w:t>
            </w:r>
            <w:r w:rsidRPr="002C182A">
              <w:rPr>
                <w:sz w:val="20"/>
                <w:szCs w:val="20"/>
              </w:rPr>
              <w:t>ersona</w:t>
            </w:r>
            <w:r>
              <w:rPr>
                <w:sz w:val="20"/>
                <w:szCs w:val="20"/>
              </w:rPr>
              <w:t>l budget applications, assessment and monitoring of PB spend</w:t>
            </w:r>
          </w:p>
          <w:p w:rsidR="00B32784" w:rsidRDefault="00B32784" w:rsidP="00622BAE">
            <w:pPr>
              <w:pStyle w:val="ListParagraph"/>
              <w:rPr>
                <w:sz w:val="20"/>
                <w:szCs w:val="20"/>
              </w:rPr>
            </w:pPr>
            <w:r w:rsidRPr="002C182A">
              <w:rPr>
                <w:sz w:val="20"/>
                <w:szCs w:val="20"/>
              </w:rPr>
              <w:t xml:space="preserve"> </w:t>
            </w:r>
          </w:p>
          <w:p w:rsidR="00B32784" w:rsidRPr="002C182A" w:rsidRDefault="00B32784" w:rsidP="00B32784">
            <w:pPr>
              <w:pStyle w:val="ListParagraph"/>
              <w:numPr>
                <w:ilvl w:val="0"/>
                <w:numId w:val="4"/>
              </w:numPr>
              <w:ind w:left="720"/>
              <w:rPr>
                <w:sz w:val="20"/>
                <w:szCs w:val="20"/>
              </w:rPr>
            </w:pPr>
            <w:r>
              <w:rPr>
                <w:sz w:val="20"/>
                <w:szCs w:val="20"/>
              </w:rPr>
              <w:t>L</w:t>
            </w:r>
            <w:r w:rsidRPr="002C182A">
              <w:rPr>
                <w:sz w:val="20"/>
                <w:szCs w:val="20"/>
              </w:rPr>
              <w:t>ong term residential care</w:t>
            </w:r>
            <w:r>
              <w:rPr>
                <w:sz w:val="20"/>
                <w:szCs w:val="20"/>
              </w:rPr>
              <w:t xml:space="preserve"> applications financial assessments and reviews </w:t>
            </w:r>
            <w:r w:rsidRPr="002C182A">
              <w:rPr>
                <w:sz w:val="20"/>
                <w:szCs w:val="20"/>
                <w:lang w:val="en-US"/>
              </w:rPr>
              <w:t xml:space="preserve"> </w:t>
            </w:r>
          </w:p>
          <w:p w:rsidR="00B32784" w:rsidRPr="00125C8C" w:rsidRDefault="00B32784" w:rsidP="00622BAE">
            <w:pPr>
              <w:rPr>
                <w:color w:val="FF0000"/>
                <w:sz w:val="20"/>
                <w:szCs w:val="20"/>
                <w:lang w:val="en-US"/>
              </w:rPr>
            </w:pPr>
          </w:p>
        </w:tc>
      </w:tr>
      <w:tr w:rsidR="00B32784" w:rsidRPr="005F0B23" w:rsidTr="00622BAE">
        <w:trPr>
          <w:trHeight w:val="251"/>
        </w:trPr>
        <w:tc>
          <w:tcPr>
            <w:tcW w:w="495" w:type="dxa"/>
            <w:tcBorders>
              <w:top w:val="single" w:sz="4" w:space="0" w:color="auto"/>
              <w:left w:val="single" w:sz="4" w:space="0" w:color="auto"/>
              <w:bottom w:val="single" w:sz="4" w:space="0" w:color="auto"/>
              <w:right w:val="single" w:sz="4" w:space="0" w:color="auto"/>
            </w:tcBorders>
          </w:tcPr>
          <w:p w:rsidR="00B32784" w:rsidRDefault="00B32784" w:rsidP="00622BAE">
            <w:pPr>
              <w:rPr>
                <w:sz w:val="20"/>
                <w:szCs w:val="20"/>
              </w:rPr>
            </w:pPr>
            <w:r>
              <w:rPr>
                <w:sz w:val="20"/>
                <w:szCs w:val="20"/>
              </w:rPr>
              <w:t>14.</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rsidR="00B32784" w:rsidRDefault="00B32784" w:rsidP="00622BAE">
            <w:pPr>
              <w:rPr>
                <w:sz w:val="20"/>
                <w:szCs w:val="20"/>
              </w:rPr>
            </w:pPr>
            <w:r>
              <w:rPr>
                <w:sz w:val="20"/>
                <w:szCs w:val="20"/>
              </w:rPr>
              <w:t>Risk assess allegations of fraud and corruption</w:t>
            </w:r>
          </w:p>
        </w:tc>
        <w:tc>
          <w:tcPr>
            <w:tcW w:w="9072" w:type="dxa"/>
            <w:tcBorders>
              <w:top w:val="single" w:sz="4" w:space="0" w:color="auto"/>
              <w:left w:val="nil"/>
              <w:bottom w:val="single" w:sz="4" w:space="0" w:color="auto"/>
              <w:right w:val="single" w:sz="4" w:space="0" w:color="auto"/>
            </w:tcBorders>
            <w:shd w:val="clear" w:color="auto" w:fill="auto"/>
          </w:tcPr>
          <w:p w:rsidR="00B32784" w:rsidRDefault="00B32784" w:rsidP="00622BAE">
            <w:pPr>
              <w:rPr>
                <w:sz w:val="20"/>
                <w:szCs w:val="20"/>
                <w:lang w:val="en-US"/>
              </w:rPr>
            </w:pPr>
            <w:r>
              <w:rPr>
                <w:sz w:val="20"/>
                <w:szCs w:val="20"/>
                <w:lang w:val="en-US"/>
              </w:rPr>
              <w:t>Risk assess 80% of allegations of fraud and corruption and deploy resources on those cases deemed sufficiently high enough fraud risk within an average of 10 working days of receipt of the information. (KPI4)</w:t>
            </w:r>
          </w:p>
          <w:p w:rsidR="00B32784" w:rsidRDefault="00B32784" w:rsidP="00622BAE">
            <w:pPr>
              <w:rPr>
                <w:sz w:val="20"/>
                <w:szCs w:val="20"/>
              </w:rPr>
            </w:pPr>
          </w:p>
        </w:tc>
      </w:tr>
    </w:tbl>
    <w:p w:rsidR="00B32784" w:rsidRDefault="00B32784" w:rsidP="00B32784">
      <w:pPr>
        <w:rPr>
          <w:b/>
          <w:sz w:val="20"/>
          <w:szCs w:val="20"/>
        </w:rPr>
      </w:pPr>
    </w:p>
    <w:p w:rsidR="00B32784" w:rsidRDefault="00B32784" w:rsidP="00B32784"/>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475"/>
        <w:gridCol w:w="1843"/>
      </w:tblGrid>
      <w:tr w:rsidR="00B32784" w:rsidTr="00622BAE">
        <w:tc>
          <w:tcPr>
            <w:tcW w:w="674" w:type="dxa"/>
            <w:shd w:val="clear" w:color="auto" w:fill="BFBFBF" w:themeFill="background1" w:themeFillShade="BF"/>
          </w:tcPr>
          <w:p w:rsidR="00B32784" w:rsidRPr="00D62D67" w:rsidRDefault="00B32784" w:rsidP="00622BAE">
            <w:pPr>
              <w:rPr>
                <w:b/>
              </w:rPr>
            </w:pPr>
            <w:r w:rsidRPr="00D62D67">
              <w:rPr>
                <w:b/>
              </w:rPr>
              <w:t>No.</w:t>
            </w:r>
          </w:p>
        </w:tc>
        <w:tc>
          <w:tcPr>
            <w:tcW w:w="12475" w:type="dxa"/>
            <w:shd w:val="clear" w:color="auto" w:fill="BFBFBF" w:themeFill="background1" w:themeFillShade="BF"/>
          </w:tcPr>
          <w:p w:rsidR="00B32784" w:rsidRDefault="00B32784" w:rsidP="00622BAE">
            <w:pPr>
              <w:rPr>
                <w:b/>
              </w:rPr>
            </w:pPr>
            <w:r>
              <w:rPr>
                <w:b/>
              </w:rPr>
              <w:t>CAFT Key Performance Indicators 2020/21</w:t>
            </w:r>
          </w:p>
          <w:p w:rsidR="00B32784" w:rsidRPr="00D62D67" w:rsidRDefault="00B32784" w:rsidP="00622BAE">
            <w:pPr>
              <w:rPr>
                <w:b/>
              </w:rPr>
            </w:pPr>
          </w:p>
        </w:tc>
        <w:tc>
          <w:tcPr>
            <w:tcW w:w="1843" w:type="dxa"/>
            <w:shd w:val="clear" w:color="auto" w:fill="BFBFBF" w:themeFill="background1" w:themeFillShade="BF"/>
          </w:tcPr>
          <w:p w:rsidR="00B32784" w:rsidRPr="00D62D67" w:rsidRDefault="00B32784" w:rsidP="00622BAE">
            <w:pPr>
              <w:rPr>
                <w:b/>
              </w:rPr>
            </w:pPr>
            <w:r>
              <w:rPr>
                <w:b/>
              </w:rPr>
              <w:t>Target</w:t>
            </w:r>
          </w:p>
        </w:tc>
      </w:tr>
      <w:tr w:rsidR="00B32784" w:rsidTr="00622BAE">
        <w:tc>
          <w:tcPr>
            <w:tcW w:w="674" w:type="dxa"/>
            <w:shd w:val="clear" w:color="auto" w:fill="auto"/>
          </w:tcPr>
          <w:p w:rsidR="00B32784" w:rsidRDefault="00B32784" w:rsidP="00622BAE">
            <w:r>
              <w:t>1.</w:t>
            </w:r>
          </w:p>
        </w:tc>
        <w:tc>
          <w:tcPr>
            <w:tcW w:w="12475" w:type="dxa"/>
            <w:shd w:val="clear" w:color="auto" w:fill="auto"/>
          </w:tcPr>
          <w:p w:rsidR="00B32784" w:rsidRPr="00D62D67" w:rsidRDefault="00B32784" w:rsidP="00622BAE">
            <w:pPr>
              <w:rPr>
                <w:lang w:val="en-US"/>
              </w:rPr>
            </w:pPr>
            <w:r>
              <w:rPr>
                <w:lang w:val="en-US"/>
              </w:rPr>
              <w:t xml:space="preserve">Recovery of a combined total of 10 </w:t>
            </w:r>
            <w:r w:rsidRPr="00D62D67">
              <w:rPr>
                <w:lang w:val="en-US"/>
              </w:rPr>
              <w:t>social housing units subject to fraud and misuse</w:t>
            </w:r>
            <w:r>
              <w:rPr>
                <w:lang w:val="en-US"/>
              </w:rPr>
              <w:t xml:space="preserve"> and the disruption/interception of fraudulent Right to Buy applications </w:t>
            </w:r>
          </w:p>
          <w:p w:rsidR="00B32784" w:rsidRPr="00EF76C3" w:rsidRDefault="00B32784" w:rsidP="00622BAE"/>
        </w:tc>
        <w:tc>
          <w:tcPr>
            <w:tcW w:w="1843" w:type="dxa"/>
            <w:shd w:val="clear" w:color="auto" w:fill="auto"/>
          </w:tcPr>
          <w:p w:rsidR="00B32784" w:rsidRDefault="00B32784" w:rsidP="00622BAE">
            <w:r>
              <w:t>100%</w:t>
            </w:r>
          </w:p>
        </w:tc>
      </w:tr>
      <w:tr w:rsidR="00B32784" w:rsidTr="00622BAE">
        <w:trPr>
          <w:trHeight w:val="718"/>
        </w:trPr>
        <w:tc>
          <w:tcPr>
            <w:tcW w:w="674" w:type="dxa"/>
            <w:shd w:val="clear" w:color="auto" w:fill="auto"/>
          </w:tcPr>
          <w:p w:rsidR="00B32784" w:rsidRDefault="00B32784" w:rsidP="00622BAE">
            <w:r>
              <w:t>2.</w:t>
            </w:r>
          </w:p>
        </w:tc>
        <w:tc>
          <w:tcPr>
            <w:tcW w:w="12475" w:type="dxa"/>
            <w:shd w:val="clear" w:color="auto" w:fill="auto"/>
          </w:tcPr>
          <w:p w:rsidR="00B32784" w:rsidRDefault="00B32784" w:rsidP="00622BAE">
            <w:r>
              <w:t>Fraud validation checks undertaken on Right to Buy applications referred to the CAFT at offer stage and before completion</w:t>
            </w:r>
          </w:p>
        </w:tc>
        <w:tc>
          <w:tcPr>
            <w:tcW w:w="1843" w:type="dxa"/>
            <w:shd w:val="clear" w:color="auto" w:fill="auto"/>
          </w:tcPr>
          <w:p w:rsidR="00B32784" w:rsidRDefault="00B32784" w:rsidP="00622BAE">
            <w:r>
              <w:t>90%</w:t>
            </w:r>
          </w:p>
        </w:tc>
      </w:tr>
      <w:tr w:rsidR="00B32784" w:rsidTr="00622BAE">
        <w:trPr>
          <w:trHeight w:val="477"/>
        </w:trPr>
        <w:tc>
          <w:tcPr>
            <w:tcW w:w="674" w:type="dxa"/>
            <w:shd w:val="clear" w:color="auto" w:fill="auto"/>
          </w:tcPr>
          <w:p w:rsidR="00B32784" w:rsidRDefault="00B32784" w:rsidP="00622BAE">
            <w:r>
              <w:t>3.</w:t>
            </w:r>
          </w:p>
        </w:tc>
        <w:tc>
          <w:tcPr>
            <w:tcW w:w="12475" w:type="dxa"/>
            <w:shd w:val="clear" w:color="auto" w:fill="auto"/>
          </w:tcPr>
          <w:p w:rsidR="00B32784" w:rsidRDefault="00B32784" w:rsidP="00622BAE">
            <w:r>
              <w:t xml:space="preserve">Internal fraud and corruption referrals risk </w:t>
            </w:r>
            <w:proofErr w:type="gramStart"/>
            <w:r>
              <w:t>assessed</w:t>
            </w:r>
            <w:proofErr w:type="gramEnd"/>
            <w:r>
              <w:t xml:space="preserve"> and resources deployed in 5 working days</w:t>
            </w:r>
          </w:p>
        </w:tc>
        <w:tc>
          <w:tcPr>
            <w:tcW w:w="1843" w:type="dxa"/>
            <w:shd w:val="clear" w:color="auto" w:fill="auto"/>
          </w:tcPr>
          <w:p w:rsidR="00B32784" w:rsidRDefault="00B32784" w:rsidP="00622BAE">
            <w:r>
              <w:t>80%</w:t>
            </w:r>
          </w:p>
        </w:tc>
      </w:tr>
      <w:tr w:rsidR="00B32784" w:rsidTr="00622BAE">
        <w:trPr>
          <w:trHeight w:val="541"/>
        </w:trPr>
        <w:tc>
          <w:tcPr>
            <w:tcW w:w="674" w:type="dxa"/>
            <w:shd w:val="clear" w:color="auto" w:fill="auto"/>
          </w:tcPr>
          <w:p w:rsidR="00B32784" w:rsidRDefault="00B32784" w:rsidP="00622BAE">
            <w:r>
              <w:t>4.</w:t>
            </w:r>
          </w:p>
        </w:tc>
        <w:tc>
          <w:tcPr>
            <w:tcW w:w="12475" w:type="dxa"/>
            <w:shd w:val="clear" w:color="auto" w:fill="auto"/>
          </w:tcPr>
          <w:p w:rsidR="00B32784" w:rsidRDefault="00B32784" w:rsidP="00622BAE">
            <w:r>
              <w:t xml:space="preserve">Fraud and corruption referrals risk </w:t>
            </w:r>
            <w:proofErr w:type="gramStart"/>
            <w:r>
              <w:t>assessed</w:t>
            </w:r>
            <w:proofErr w:type="gramEnd"/>
            <w:r>
              <w:t xml:space="preserve"> and resources deployed in 10 working days</w:t>
            </w:r>
          </w:p>
          <w:p w:rsidR="00B32784" w:rsidRDefault="00B32784" w:rsidP="00622BAE"/>
        </w:tc>
        <w:tc>
          <w:tcPr>
            <w:tcW w:w="1843" w:type="dxa"/>
            <w:shd w:val="clear" w:color="auto" w:fill="auto"/>
          </w:tcPr>
          <w:p w:rsidR="00B32784" w:rsidRDefault="00B32784" w:rsidP="00622BAE">
            <w:r>
              <w:t>80%</w:t>
            </w:r>
          </w:p>
        </w:tc>
      </w:tr>
      <w:tr w:rsidR="00B32784" w:rsidTr="00622BAE">
        <w:trPr>
          <w:trHeight w:val="541"/>
        </w:trPr>
        <w:tc>
          <w:tcPr>
            <w:tcW w:w="674" w:type="dxa"/>
            <w:shd w:val="clear" w:color="auto" w:fill="auto"/>
          </w:tcPr>
          <w:p w:rsidR="00B32784" w:rsidRDefault="00B32784" w:rsidP="00622BAE">
            <w:r>
              <w:t>5.</w:t>
            </w:r>
          </w:p>
        </w:tc>
        <w:tc>
          <w:tcPr>
            <w:tcW w:w="12475" w:type="dxa"/>
            <w:shd w:val="clear" w:color="auto" w:fill="auto"/>
          </w:tcPr>
          <w:p w:rsidR="00B32784" w:rsidRDefault="00B32784" w:rsidP="00622BAE">
            <w:r>
              <w:rPr>
                <w:color w:val="000000"/>
              </w:rPr>
              <w:t>Fraud risk r</w:t>
            </w:r>
            <w:r w:rsidRPr="00FB7AF2">
              <w:rPr>
                <w:color w:val="000000"/>
              </w:rPr>
              <w:t>ecommendations agreed for implementation</w:t>
            </w:r>
            <w:r>
              <w:rPr>
                <w:color w:val="000000"/>
              </w:rPr>
              <w:t xml:space="preserve"> </w:t>
            </w:r>
          </w:p>
        </w:tc>
        <w:tc>
          <w:tcPr>
            <w:tcW w:w="1843" w:type="dxa"/>
            <w:shd w:val="clear" w:color="auto" w:fill="auto"/>
          </w:tcPr>
          <w:p w:rsidR="00B32784" w:rsidRDefault="00B32784" w:rsidP="00622BAE">
            <w:r>
              <w:t>80%</w:t>
            </w:r>
          </w:p>
        </w:tc>
      </w:tr>
    </w:tbl>
    <w:p w:rsidR="00B32784" w:rsidRDefault="00B32784" w:rsidP="00B32784"/>
    <w:p w:rsidR="00B32784" w:rsidRDefault="00B32784" w:rsidP="00B32784"/>
    <w:p w:rsidR="00B32784" w:rsidRDefault="00B32784" w:rsidP="00B32784">
      <w:r>
        <w:t>NB All targets have remained the same as 2019/20 due to the disruption caused by Covid-19, but ordinarily these would have been increased slightly to stretch performance</w:t>
      </w:r>
    </w:p>
    <w:p w:rsidR="00B32784" w:rsidRDefault="00B32784" w:rsidP="00B32784"/>
    <w:p w:rsidR="009D128D" w:rsidRPr="009D128D" w:rsidRDefault="009D128D" w:rsidP="009D128D"/>
    <w:p w:rsidR="009D128D" w:rsidRPr="009D128D" w:rsidRDefault="009D128D" w:rsidP="009D128D"/>
    <w:p w:rsidR="009D128D" w:rsidRPr="009D128D" w:rsidRDefault="009D128D" w:rsidP="009D128D">
      <w:pPr>
        <w:rPr>
          <w:b/>
        </w:rPr>
      </w:pPr>
      <w:r w:rsidRPr="009D128D">
        <w:rPr>
          <w:b/>
        </w:rPr>
        <w:t xml:space="preserve">Justin Phillips </w:t>
      </w:r>
    </w:p>
    <w:p w:rsidR="009D128D" w:rsidRPr="009D128D" w:rsidRDefault="009D128D" w:rsidP="009D128D">
      <w:pPr>
        <w:rPr>
          <w:b/>
        </w:rPr>
      </w:pPr>
      <w:r w:rsidRPr="009D128D">
        <w:rPr>
          <w:b/>
        </w:rPr>
        <w:t>Service Manager, Corporate Anti-Fraud</w:t>
      </w:r>
    </w:p>
    <w:p w:rsidR="009D128D" w:rsidRPr="009D128D" w:rsidRDefault="009D128D" w:rsidP="009D128D">
      <w:pPr>
        <w:rPr>
          <w:b/>
        </w:rPr>
      </w:pPr>
    </w:p>
    <w:p w:rsidR="009D128D" w:rsidRPr="009D128D" w:rsidRDefault="009D128D" w:rsidP="009D128D">
      <w:pPr>
        <w:rPr>
          <w:b/>
        </w:rPr>
      </w:pPr>
      <w:r w:rsidRPr="009D128D">
        <w:rPr>
          <w:b/>
        </w:rPr>
        <w:t xml:space="preserve">Susan Dixson </w:t>
      </w:r>
    </w:p>
    <w:p w:rsidR="009D128D" w:rsidRPr="009D128D" w:rsidRDefault="009D128D" w:rsidP="009D128D">
      <w:pPr>
        <w:rPr>
          <w:b/>
        </w:rPr>
      </w:pPr>
      <w:r w:rsidRPr="009D128D">
        <w:rPr>
          <w:b/>
        </w:rPr>
        <w:t>Head of Internal Audit</w:t>
      </w:r>
      <w:r w:rsidR="009714FC">
        <w:rPr>
          <w:b/>
        </w:rPr>
        <w:t xml:space="preserve"> &amp; Corporate Anti-Fraud</w:t>
      </w:r>
    </w:p>
    <w:p w:rsidR="009D128D" w:rsidRPr="009D128D" w:rsidRDefault="009D128D" w:rsidP="009D128D">
      <w:pPr>
        <w:rPr>
          <w:b/>
        </w:rPr>
      </w:pPr>
    </w:p>
    <w:p w:rsidR="009D128D" w:rsidRPr="009D128D" w:rsidRDefault="003B59E7" w:rsidP="009D128D">
      <w:pPr>
        <w:rPr>
          <w:b/>
        </w:rPr>
      </w:pPr>
      <w:r>
        <w:rPr>
          <w:b/>
        </w:rPr>
        <w:t>October</w:t>
      </w:r>
      <w:r w:rsidR="009D128D" w:rsidRPr="009D128D">
        <w:rPr>
          <w:b/>
        </w:rPr>
        <w:t xml:space="preserve"> 20</w:t>
      </w:r>
      <w:r>
        <w:rPr>
          <w:b/>
        </w:rPr>
        <w:t>20</w:t>
      </w:r>
      <w:bookmarkStart w:id="0" w:name="_GoBack"/>
      <w:bookmarkEnd w:id="0"/>
    </w:p>
    <w:p w:rsidR="009D128D" w:rsidRPr="009D128D" w:rsidRDefault="009D128D" w:rsidP="009D128D"/>
    <w:p w:rsidR="009D128D" w:rsidRDefault="009D128D"/>
    <w:sectPr w:rsidR="009D128D" w:rsidSect="0023525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989" w:rsidRDefault="00E26989" w:rsidP="0023525F">
      <w:r>
        <w:separator/>
      </w:r>
    </w:p>
  </w:endnote>
  <w:endnote w:type="continuationSeparator" w:id="0">
    <w:p w:rsidR="00E26989" w:rsidRDefault="00E26989" w:rsidP="0023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989" w:rsidRDefault="00E26989" w:rsidP="0023525F">
      <w:r>
        <w:separator/>
      </w:r>
    </w:p>
  </w:footnote>
  <w:footnote w:type="continuationSeparator" w:id="0">
    <w:p w:rsidR="00E26989" w:rsidRDefault="00E26989" w:rsidP="0023525F">
      <w:r>
        <w:continuationSeparator/>
      </w:r>
    </w:p>
  </w:footnote>
  <w:footnote w:id="1">
    <w:p w:rsidR="00E26989" w:rsidRDefault="00E26989" w:rsidP="0023525F">
      <w:pPr>
        <w:pStyle w:val="FootnoteText"/>
      </w:pPr>
      <w:r>
        <w:rPr>
          <w:rStyle w:val="FootnoteReference"/>
        </w:rPr>
        <w:footnoteRef/>
      </w:r>
      <w:r>
        <w:t xml:space="preserve"> Wherever possible risk ratings are taken from the Corporate (prefix CR), an audit risk assessment is undertaken for all other reviews.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989" w:rsidRDefault="003B59E7" w:rsidP="0023525F">
    <w:pPr>
      <w:pStyle w:val="Header"/>
      <w:jc w:val="center"/>
      <w:rPr>
        <w:b/>
      </w:rPr>
    </w:pPr>
    <w:sdt>
      <w:sdtPr>
        <w:rPr>
          <w:b/>
        </w:rPr>
        <w:id w:val="1423222223"/>
        <w:docPartObj>
          <w:docPartGallery w:val="Watermarks"/>
          <w:docPartUnique/>
        </w:docPartObj>
      </w:sdtPr>
      <w:sdtEndPr/>
      <w:sdtContent>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r w:rsidR="00E26989" w:rsidRPr="008F59E0">
      <w:rPr>
        <w:b/>
      </w:rPr>
      <w:t>HARROW COUNCIL</w:t>
    </w:r>
    <w:r w:rsidR="00E26989">
      <w:rPr>
        <w:b/>
      </w:rPr>
      <w:br/>
      <w:t xml:space="preserve">2020/21 INTERNAL AUDIT &amp; CORPORATE ANTI-FRAUD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34F"/>
    <w:multiLevelType w:val="hybridMultilevel"/>
    <w:tmpl w:val="235A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527FB"/>
    <w:multiLevelType w:val="hybridMultilevel"/>
    <w:tmpl w:val="E8C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52CCE"/>
    <w:multiLevelType w:val="hybridMultilevel"/>
    <w:tmpl w:val="320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750A0"/>
    <w:multiLevelType w:val="hybridMultilevel"/>
    <w:tmpl w:val="88A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E09C6"/>
    <w:multiLevelType w:val="hybridMultilevel"/>
    <w:tmpl w:val="BC4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72896"/>
    <w:multiLevelType w:val="hybridMultilevel"/>
    <w:tmpl w:val="6E121E58"/>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D8"/>
    <w:rsid w:val="00000DDA"/>
    <w:rsid w:val="00013629"/>
    <w:rsid w:val="000A6BB5"/>
    <w:rsid w:val="000A7DD3"/>
    <w:rsid w:val="000B1093"/>
    <w:rsid w:val="000B5941"/>
    <w:rsid w:val="000E7BB6"/>
    <w:rsid w:val="000F5E76"/>
    <w:rsid w:val="00140E95"/>
    <w:rsid w:val="0015176F"/>
    <w:rsid w:val="001805F9"/>
    <w:rsid w:val="001953C6"/>
    <w:rsid w:val="001A3A61"/>
    <w:rsid w:val="001A68D0"/>
    <w:rsid w:val="001B5663"/>
    <w:rsid w:val="00202332"/>
    <w:rsid w:val="0022568E"/>
    <w:rsid w:val="0023525F"/>
    <w:rsid w:val="002571D4"/>
    <w:rsid w:val="00294407"/>
    <w:rsid w:val="002B17B3"/>
    <w:rsid w:val="002B47B3"/>
    <w:rsid w:val="002D3398"/>
    <w:rsid w:val="00302911"/>
    <w:rsid w:val="00392D3A"/>
    <w:rsid w:val="003950C1"/>
    <w:rsid w:val="003A7175"/>
    <w:rsid w:val="003B59E7"/>
    <w:rsid w:val="003E1878"/>
    <w:rsid w:val="00401186"/>
    <w:rsid w:val="00413F7A"/>
    <w:rsid w:val="00422BE3"/>
    <w:rsid w:val="00431402"/>
    <w:rsid w:val="00442EA4"/>
    <w:rsid w:val="00457220"/>
    <w:rsid w:val="00466987"/>
    <w:rsid w:val="00474AE3"/>
    <w:rsid w:val="004862E8"/>
    <w:rsid w:val="004A086B"/>
    <w:rsid w:val="004A3680"/>
    <w:rsid w:val="004A4E5D"/>
    <w:rsid w:val="004A6D8F"/>
    <w:rsid w:val="004A723A"/>
    <w:rsid w:val="004E0152"/>
    <w:rsid w:val="004E44AB"/>
    <w:rsid w:val="00505B8D"/>
    <w:rsid w:val="00514775"/>
    <w:rsid w:val="0053179A"/>
    <w:rsid w:val="00544F2D"/>
    <w:rsid w:val="005579FA"/>
    <w:rsid w:val="005A3E19"/>
    <w:rsid w:val="005B1D1F"/>
    <w:rsid w:val="005E0520"/>
    <w:rsid w:val="00613248"/>
    <w:rsid w:val="00635578"/>
    <w:rsid w:val="00647F49"/>
    <w:rsid w:val="006B2E71"/>
    <w:rsid w:val="006B5CC4"/>
    <w:rsid w:val="006C3F89"/>
    <w:rsid w:val="006D24D8"/>
    <w:rsid w:val="006D416E"/>
    <w:rsid w:val="006E46D4"/>
    <w:rsid w:val="0071372F"/>
    <w:rsid w:val="007553AF"/>
    <w:rsid w:val="00765B23"/>
    <w:rsid w:val="007A570B"/>
    <w:rsid w:val="007B0EC4"/>
    <w:rsid w:val="007B7BAC"/>
    <w:rsid w:val="007C799A"/>
    <w:rsid w:val="007F4B40"/>
    <w:rsid w:val="007F6F5C"/>
    <w:rsid w:val="00807223"/>
    <w:rsid w:val="0082703E"/>
    <w:rsid w:val="008419A7"/>
    <w:rsid w:val="0087561C"/>
    <w:rsid w:val="00891274"/>
    <w:rsid w:val="00896E30"/>
    <w:rsid w:val="008E32DD"/>
    <w:rsid w:val="00913FFF"/>
    <w:rsid w:val="009644E8"/>
    <w:rsid w:val="009714FC"/>
    <w:rsid w:val="00974441"/>
    <w:rsid w:val="00995A24"/>
    <w:rsid w:val="009A6D55"/>
    <w:rsid w:val="009A6F3D"/>
    <w:rsid w:val="009C704D"/>
    <w:rsid w:val="009D128D"/>
    <w:rsid w:val="00A01CB7"/>
    <w:rsid w:val="00A11037"/>
    <w:rsid w:val="00A17F26"/>
    <w:rsid w:val="00A2575E"/>
    <w:rsid w:val="00A54E1A"/>
    <w:rsid w:val="00A91F2C"/>
    <w:rsid w:val="00AE2CF6"/>
    <w:rsid w:val="00B01CD8"/>
    <w:rsid w:val="00B01E80"/>
    <w:rsid w:val="00B02A46"/>
    <w:rsid w:val="00B274F8"/>
    <w:rsid w:val="00B31571"/>
    <w:rsid w:val="00B32784"/>
    <w:rsid w:val="00B65962"/>
    <w:rsid w:val="00B70016"/>
    <w:rsid w:val="00BA2333"/>
    <w:rsid w:val="00BD4748"/>
    <w:rsid w:val="00BE6ED6"/>
    <w:rsid w:val="00C00041"/>
    <w:rsid w:val="00C07858"/>
    <w:rsid w:val="00C31217"/>
    <w:rsid w:val="00C77CAB"/>
    <w:rsid w:val="00C95698"/>
    <w:rsid w:val="00CA4662"/>
    <w:rsid w:val="00D05C89"/>
    <w:rsid w:val="00D42F0A"/>
    <w:rsid w:val="00D50927"/>
    <w:rsid w:val="00D667CB"/>
    <w:rsid w:val="00D75503"/>
    <w:rsid w:val="00DC0C59"/>
    <w:rsid w:val="00DF3DD5"/>
    <w:rsid w:val="00DF5F22"/>
    <w:rsid w:val="00E051AF"/>
    <w:rsid w:val="00E26989"/>
    <w:rsid w:val="00E41E4F"/>
    <w:rsid w:val="00E423A9"/>
    <w:rsid w:val="00E45F42"/>
    <w:rsid w:val="00E67112"/>
    <w:rsid w:val="00E73CDA"/>
    <w:rsid w:val="00E822F1"/>
    <w:rsid w:val="00E859B0"/>
    <w:rsid w:val="00E85CCD"/>
    <w:rsid w:val="00EF74A8"/>
    <w:rsid w:val="00F117BE"/>
    <w:rsid w:val="00F17C6F"/>
    <w:rsid w:val="00F21F16"/>
    <w:rsid w:val="00F358E3"/>
    <w:rsid w:val="00F46C31"/>
    <w:rsid w:val="00F52134"/>
    <w:rsid w:val="00F82757"/>
    <w:rsid w:val="00FB49C3"/>
    <w:rsid w:val="00FD67EF"/>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5BEECF"/>
  <w15:docId w15:val="{4A184EAF-C745-4FC1-AF11-F2AD358F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5F"/>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23525F"/>
    <w:rPr>
      <w:rFonts w:ascii="Arial" w:hAnsi="Arial" w:cs="Arial"/>
      <w:lang w:eastAsia="en-US"/>
    </w:rPr>
  </w:style>
  <w:style w:type="paragraph" w:styleId="FootnoteText">
    <w:name w:val="footnote text"/>
    <w:basedOn w:val="Normal"/>
    <w:link w:val="FootnoteTextChar"/>
    <w:semiHidden/>
    <w:rsid w:val="0023525F"/>
    <w:rPr>
      <w:rFonts w:eastAsia="Calibri"/>
      <w:sz w:val="20"/>
      <w:szCs w:val="20"/>
    </w:rPr>
  </w:style>
  <w:style w:type="character" w:customStyle="1" w:styleId="FootnoteTextChar1">
    <w:name w:val="Footnote Text Char1"/>
    <w:basedOn w:val="DefaultParagraphFont"/>
    <w:uiPriority w:val="99"/>
    <w:semiHidden/>
    <w:rsid w:val="0023525F"/>
    <w:rPr>
      <w:rFonts w:ascii="Arial" w:eastAsia="Times New Roman" w:hAnsi="Arial" w:cs="Arial"/>
      <w:lang w:eastAsia="en-US"/>
    </w:rPr>
  </w:style>
  <w:style w:type="character" w:styleId="FootnoteReference">
    <w:name w:val="footnote reference"/>
    <w:semiHidden/>
    <w:rsid w:val="0023525F"/>
    <w:rPr>
      <w:rFonts w:ascii="Times New Roman" w:hAnsi="Times New Roman" w:cs="Times New Roman" w:hint="default"/>
      <w:vertAlign w:val="superscript"/>
    </w:rPr>
  </w:style>
  <w:style w:type="paragraph" w:styleId="Header">
    <w:name w:val="header"/>
    <w:basedOn w:val="Normal"/>
    <w:link w:val="HeaderChar"/>
    <w:uiPriority w:val="99"/>
    <w:unhideWhenUsed/>
    <w:rsid w:val="0023525F"/>
    <w:pPr>
      <w:tabs>
        <w:tab w:val="center" w:pos="4513"/>
        <w:tab w:val="right" w:pos="9026"/>
      </w:tabs>
    </w:pPr>
  </w:style>
  <w:style w:type="character" w:customStyle="1" w:styleId="HeaderChar">
    <w:name w:val="Header Char"/>
    <w:basedOn w:val="DefaultParagraphFont"/>
    <w:link w:val="Header"/>
    <w:uiPriority w:val="99"/>
    <w:rsid w:val="0023525F"/>
    <w:rPr>
      <w:rFonts w:ascii="Arial" w:eastAsia="Times New Roman" w:hAnsi="Arial" w:cs="Arial"/>
      <w:sz w:val="24"/>
      <w:szCs w:val="24"/>
      <w:lang w:eastAsia="en-US"/>
    </w:rPr>
  </w:style>
  <w:style w:type="paragraph" w:styleId="Footer">
    <w:name w:val="footer"/>
    <w:basedOn w:val="Normal"/>
    <w:link w:val="FooterChar"/>
    <w:uiPriority w:val="99"/>
    <w:unhideWhenUsed/>
    <w:rsid w:val="0023525F"/>
    <w:pPr>
      <w:tabs>
        <w:tab w:val="center" w:pos="4513"/>
        <w:tab w:val="right" w:pos="9026"/>
      </w:tabs>
    </w:pPr>
  </w:style>
  <w:style w:type="character" w:customStyle="1" w:styleId="FooterChar">
    <w:name w:val="Footer Char"/>
    <w:basedOn w:val="DefaultParagraphFont"/>
    <w:link w:val="Footer"/>
    <w:uiPriority w:val="99"/>
    <w:rsid w:val="0023525F"/>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613248"/>
    <w:rPr>
      <w:rFonts w:ascii="Tahoma" w:hAnsi="Tahoma" w:cs="Tahoma"/>
      <w:sz w:val="16"/>
      <w:szCs w:val="16"/>
    </w:rPr>
  </w:style>
  <w:style w:type="character" w:customStyle="1" w:styleId="BalloonTextChar">
    <w:name w:val="Balloon Text Char"/>
    <w:basedOn w:val="DefaultParagraphFont"/>
    <w:link w:val="BalloonText"/>
    <w:uiPriority w:val="99"/>
    <w:semiHidden/>
    <w:rsid w:val="00613248"/>
    <w:rPr>
      <w:rFonts w:ascii="Tahoma" w:eastAsia="Times New Roman" w:hAnsi="Tahoma" w:cs="Tahoma"/>
      <w:sz w:val="16"/>
      <w:szCs w:val="16"/>
      <w:lang w:eastAsia="en-US"/>
    </w:rPr>
  </w:style>
  <w:style w:type="paragraph" w:styleId="ListParagraph">
    <w:name w:val="List Paragraph"/>
    <w:basedOn w:val="Normal"/>
    <w:uiPriority w:val="34"/>
    <w:qFormat/>
    <w:rsid w:val="00B32784"/>
    <w:pPr>
      <w:ind w:left="720"/>
      <w:contextualSpacing/>
    </w:pPr>
  </w:style>
  <w:style w:type="paragraph" w:customStyle="1" w:styleId="Default">
    <w:name w:val="Default"/>
    <w:rsid w:val="00B327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BEE0-43D2-41BF-9BD9-6458287D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Susan</cp:lastModifiedBy>
  <cp:revision>10</cp:revision>
  <cp:lastPrinted>2019-04-01T08:39:00Z</cp:lastPrinted>
  <dcterms:created xsi:type="dcterms:W3CDTF">2020-10-08T17:45:00Z</dcterms:created>
  <dcterms:modified xsi:type="dcterms:W3CDTF">2020-10-09T08:52:00Z</dcterms:modified>
</cp:coreProperties>
</file>